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701FEC">
        <w:rPr>
          <w:b/>
        </w:rPr>
        <w:fldChar w:fldCharType="begin"/>
      </w:r>
      <w:r w:rsidR="00701FEC">
        <w:rPr>
          <w:b/>
        </w:rPr>
        <w:instrText xml:space="preserve"> INCLUDEPICTURE  "http://entrecomillas.com.co/wp-content/uploads/2014/09/logo_20congreso_1.png" \* MERGEFORMATINET </w:instrText>
      </w:r>
      <w:r w:rsidR="00701FEC">
        <w:rPr>
          <w:b/>
        </w:rPr>
        <w:fldChar w:fldCharType="separate"/>
      </w:r>
      <w:r w:rsidR="00AC26BB">
        <w:rPr>
          <w:b/>
        </w:rPr>
        <w:fldChar w:fldCharType="begin"/>
      </w:r>
      <w:r w:rsidR="00AC26BB">
        <w:rPr>
          <w:b/>
        </w:rPr>
        <w:instrText xml:space="preserve"> INCLUDEPICTURE  "http://entrecomillas.com.co/wp-content/uploads/2014/09/logo_20congreso_1.png" \* MERGEFORMATINET </w:instrText>
      </w:r>
      <w:r w:rsidR="00AC26BB">
        <w:rPr>
          <w:b/>
        </w:rPr>
        <w:fldChar w:fldCharType="separate"/>
      </w:r>
      <w:r w:rsidR="006B466C">
        <w:rPr>
          <w:b/>
        </w:rPr>
        <w:fldChar w:fldCharType="begin"/>
      </w:r>
      <w:r w:rsidR="006B466C">
        <w:rPr>
          <w:b/>
        </w:rPr>
        <w:instrText xml:space="preserve"> INCLUDEPICTURE  "http://entrecomillas.com.co/wp-content/uploads/2014/09/logo_20congreso_1.png" \* MERGEFORMATINET </w:instrText>
      </w:r>
      <w:r w:rsidR="006B466C">
        <w:rPr>
          <w:b/>
        </w:rPr>
        <w:fldChar w:fldCharType="separate"/>
      </w:r>
      <w:r w:rsidR="00441F17">
        <w:rPr>
          <w:b/>
        </w:rPr>
        <w:fldChar w:fldCharType="begin"/>
      </w:r>
      <w:r w:rsidR="00441F17">
        <w:rPr>
          <w:b/>
        </w:rPr>
        <w:instrText xml:space="preserve"> INCLUDEPICTURE  "http://entrecomillas.com.co/wp-content/uploads/2014/09/logo_20congreso_1.png" \* MERGEFORMATINET </w:instrText>
      </w:r>
      <w:r w:rsidR="00441F17">
        <w:rPr>
          <w:b/>
        </w:rPr>
        <w:fldChar w:fldCharType="separate"/>
      </w:r>
      <w:r w:rsidR="00AB7E74">
        <w:rPr>
          <w:b/>
        </w:rPr>
        <w:fldChar w:fldCharType="begin"/>
      </w:r>
      <w:r w:rsidR="00AB7E74">
        <w:rPr>
          <w:b/>
        </w:rPr>
        <w:instrText xml:space="preserve"> INCLUDEPICTURE  "http://entrecomillas.com.co/wp-content/uploads/2014/09/logo_20congreso_1.png" \* MERGEFORMATINET </w:instrText>
      </w:r>
      <w:r w:rsidR="00AB7E74">
        <w:rPr>
          <w:b/>
        </w:rPr>
        <w:fldChar w:fldCharType="separate"/>
      </w:r>
      <w:r w:rsidR="005C6C19">
        <w:rPr>
          <w:b/>
        </w:rPr>
        <w:fldChar w:fldCharType="begin"/>
      </w:r>
      <w:r w:rsidR="005C6C19">
        <w:rPr>
          <w:b/>
        </w:rPr>
        <w:instrText xml:space="preserve"> INCLUDEPICTURE  "http://entrecomillas.com.co/wp-content/uploads/2014/09/logo_20congreso_1.png" \* MERGEFORMATINET </w:instrText>
      </w:r>
      <w:r w:rsidR="005C6C19">
        <w:rPr>
          <w:b/>
        </w:rPr>
        <w:fldChar w:fldCharType="separate"/>
      </w:r>
      <w:r w:rsidR="00DA4E14">
        <w:rPr>
          <w:b/>
        </w:rPr>
        <w:fldChar w:fldCharType="begin"/>
      </w:r>
      <w:r w:rsidR="00DA4E14">
        <w:rPr>
          <w:b/>
        </w:rPr>
        <w:instrText xml:space="preserve"> INCLUDEPICTURE  "http://entrecomillas.com.co/wp-content/uploads/2014/09/logo_20congreso_1.png" \* MERGEFORMATINET </w:instrText>
      </w:r>
      <w:r w:rsidR="00DA4E14">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sidR="00965B5A">
        <w:rPr>
          <w:b/>
        </w:rPr>
        <w:fldChar w:fldCharType="begin"/>
      </w:r>
      <w:r w:rsidR="00965B5A">
        <w:rPr>
          <w:b/>
        </w:rPr>
        <w:instrText xml:space="preserve"> INCLUDEPICTURE  "http://entrecomillas.com.co/wp-content/uploads/2014/09/logo_20congreso_1.png" \* MERGEFORMATINET </w:instrText>
      </w:r>
      <w:r w:rsidR="00965B5A">
        <w:rPr>
          <w:b/>
        </w:rPr>
        <w:fldChar w:fldCharType="separate"/>
      </w:r>
      <w:r w:rsidR="006F31F7">
        <w:rPr>
          <w:b/>
        </w:rPr>
        <w:fldChar w:fldCharType="begin"/>
      </w:r>
      <w:r w:rsidR="006F31F7">
        <w:rPr>
          <w:b/>
        </w:rPr>
        <w:instrText xml:space="preserve"> INCLUDEPICTURE  "http://entrecomillas.com.co/wp-content/uploads/2014/09/logo_20congreso_1.png" \* MERGEFORMATINET </w:instrText>
      </w:r>
      <w:r w:rsidR="006F31F7">
        <w:rPr>
          <w:b/>
        </w:rPr>
        <w:fldChar w:fldCharType="separate"/>
      </w:r>
      <w:r w:rsidR="00FC0916">
        <w:rPr>
          <w:b/>
        </w:rPr>
        <w:fldChar w:fldCharType="begin"/>
      </w:r>
      <w:r w:rsidR="00FC0916">
        <w:rPr>
          <w:b/>
        </w:rPr>
        <w:instrText xml:space="preserve"> INCLUDEPICTURE  "http://entrecomillas.com.co/wp-content/uploads/2014/09/logo_20congreso_1.png" \* MERGEFORMATINET </w:instrText>
      </w:r>
      <w:r w:rsidR="00FC0916">
        <w:rPr>
          <w:b/>
        </w:rPr>
        <w:fldChar w:fldCharType="separate"/>
      </w:r>
      <w:r w:rsidR="00D556DE">
        <w:rPr>
          <w:b/>
        </w:rPr>
        <w:fldChar w:fldCharType="begin"/>
      </w:r>
      <w:r w:rsidR="00D556DE">
        <w:rPr>
          <w:b/>
        </w:rPr>
        <w:instrText xml:space="preserve"> INCLUDEPICTURE  "http://entrecomillas.com.co/wp-content/uploads/2014/09/logo_20congreso_1.png" \* MERGEFORMATINET </w:instrText>
      </w:r>
      <w:r w:rsidR="00D556DE">
        <w:rPr>
          <w:b/>
        </w:rPr>
        <w:fldChar w:fldCharType="separate"/>
      </w:r>
      <w:r w:rsidR="00E66F62">
        <w:rPr>
          <w:b/>
        </w:rPr>
        <w:fldChar w:fldCharType="begin"/>
      </w:r>
      <w:r w:rsidR="00E66F62">
        <w:rPr>
          <w:b/>
        </w:rPr>
        <w:instrText xml:space="preserve"> INCLUDEPICTURE  "http://entrecomillas.com.co/wp-content/uploads/2014/09/logo_20congreso_1.png" \* MERGEFORMATINET </w:instrText>
      </w:r>
      <w:r w:rsidR="00E66F62">
        <w:rPr>
          <w:b/>
        </w:rPr>
        <w:fldChar w:fldCharType="separate"/>
      </w:r>
      <w:r w:rsidR="00D823E0">
        <w:rPr>
          <w:b/>
        </w:rPr>
        <w:fldChar w:fldCharType="begin"/>
      </w:r>
      <w:r w:rsidR="00D823E0">
        <w:rPr>
          <w:b/>
        </w:rPr>
        <w:instrText xml:space="preserve"> INCLUDEPICTURE  "http://entrecomillas.com.co/wp-content/uploads/2014/09/logo_20congreso_1.png" \* MERGEFORMATINET </w:instrText>
      </w:r>
      <w:r w:rsidR="00D823E0">
        <w:rPr>
          <w:b/>
        </w:rPr>
        <w:fldChar w:fldCharType="separate"/>
      </w:r>
      <w:r w:rsidR="005E4441">
        <w:rPr>
          <w:b/>
        </w:rPr>
        <w:fldChar w:fldCharType="begin"/>
      </w:r>
      <w:r w:rsidR="005E4441">
        <w:rPr>
          <w:b/>
        </w:rPr>
        <w:instrText xml:space="preserve"> INCLUDEPICTURE  "http://entrecomillas.com.co/wp-content/uploads/2014/09/logo_20congreso_1.png" \* MERGEFORMATINET </w:instrText>
      </w:r>
      <w:r w:rsidR="005E4441">
        <w:rPr>
          <w:b/>
        </w:rPr>
        <w:fldChar w:fldCharType="separate"/>
      </w:r>
      <w:r w:rsidR="00EA2148">
        <w:rPr>
          <w:b/>
        </w:rPr>
        <w:fldChar w:fldCharType="begin"/>
      </w:r>
      <w:r w:rsidR="00EA2148">
        <w:rPr>
          <w:b/>
        </w:rPr>
        <w:instrText xml:space="preserve"> </w:instrText>
      </w:r>
      <w:r w:rsidR="00EA2148">
        <w:rPr>
          <w:b/>
        </w:rPr>
        <w:instrText>INCLUDEPICTURE  "http://entrecomillas.com.co/wp-content/uploads/2014/09/logo_20congreso_1.png" \* MERGEFORM</w:instrText>
      </w:r>
      <w:r w:rsidR="00EA2148">
        <w:rPr>
          <w:b/>
        </w:rPr>
        <w:instrText>ATINET</w:instrText>
      </w:r>
      <w:r w:rsidR="00EA2148">
        <w:rPr>
          <w:b/>
        </w:rPr>
        <w:instrText xml:space="preserve"> </w:instrText>
      </w:r>
      <w:r w:rsidR="00EA2148">
        <w:rPr>
          <w:b/>
        </w:rPr>
        <w:fldChar w:fldCharType="separate"/>
      </w:r>
      <w:r w:rsidR="0023741A">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5.3pt;height:51.95pt">
            <v:imagedata r:id="rId8" r:href="rId9"/>
          </v:shape>
        </w:pict>
      </w:r>
      <w:r w:rsidR="00EA2148">
        <w:rPr>
          <w:b/>
        </w:rPr>
        <w:fldChar w:fldCharType="end"/>
      </w:r>
      <w:r w:rsidR="005E4441">
        <w:rPr>
          <w:b/>
        </w:rPr>
        <w:fldChar w:fldCharType="end"/>
      </w:r>
      <w:r w:rsidR="00D823E0">
        <w:rPr>
          <w:b/>
        </w:rPr>
        <w:fldChar w:fldCharType="end"/>
      </w:r>
      <w:r w:rsidR="00E66F62">
        <w:rPr>
          <w:b/>
        </w:rPr>
        <w:fldChar w:fldCharType="end"/>
      </w:r>
      <w:r w:rsidR="00D556DE">
        <w:rPr>
          <w:b/>
        </w:rPr>
        <w:fldChar w:fldCharType="end"/>
      </w:r>
      <w:r w:rsidR="00FC0916">
        <w:rPr>
          <w:b/>
        </w:rPr>
        <w:fldChar w:fldCharType="end"/>
      </w:r>
      <w:r w:rsidR="006F31F7">
        <w:rPr>
          <w:b/>
        </w:rPr>
        <w:fldChar w:fldCharType="end"/>
      </w:r>
      <w:r w:rsidR="00965B5A">
        <w:rPr>
          <w:b/>
        </w:rPr>
        <w:fldChar w:fldCharType="end"/>
      </w:r>
      <w:r>
        <w:rPr>
          <w:b/>
        </w:rPr>
        <w:fldChar w:fldCharType="end"/>
      </w:r>
      <w:r>
        <w:rPr>
          <w:b/>
        </w:rPr>
        <w:fldChar w:fldCharType="end"/>
      </w:r>
      <w:r w:rsidR="00DA4E14">
        <w:rPr>
          <w:b/>
        </w:rPr>
        <w:fldChar w:fldCharType="end"/>
      </w:r>
      <w:r w:rsidR="005C6C19">
        <w:rPr>
          <w:b/>
        </w:rPr>
        <w:fldChar w:fldCharType="end"/>
      </w:r>
      <w:r w:rsidR="00AB7E74">
        <w:rPr>
          <w:b/>
        </w:rPr>
        <w:fldChar w:fldCharType="end"/>
      </w:r>
      <w:r w:rsidR="00441F17">
        <w:rPr>
          <w:b/>
        </w:rPr>
        <w:fldChar w:fldCharType="end"/>
      </w:r>
      <w:r w:rsidR="006B466C">
        <w:rPr>
          <w:b/>
        </w:rPr>
        <w:fldChar w:fldCharType="end"/>
      </w:r>
      <w:r w:rsidR="00AC26BB">
        <w:rPr>
          <w:b/>
        </w:rPr>
        <w:fldChar w:fldCharType="end"/>
      </w:r>
      <w:r w:rsidR="00701FEC">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Pr="00B71118" w:rsidRDefault="00163C52" w:rsidP="00163C52">
      <w:pPr>
        <w:spacing w:line="276" w:lineRule="auto"/>
        <w:jc w:val="center"/>
        <w:rPr>
          <w:rFonts w:ascii="Bookman Old Style" w:hAnsi="Bookman Old Style"/>
          <w:b/>
          <w:color w:val="000000"/>
          <w:sz w:val="24"/>
          <w:szCs w:val="24"/>
        </w:rPr>
      </w:pPr>
    </w:p>
    <w:p w14:paraId="0E78FF1D" w14:textId="77777777" w:rsidR="00D70238" w:rsidRPr="003E41BB" w:rsidRDefault="00163C52" w:rsidP="005C018D">
      <w:pPr>
        <w:spacing w:after="0" w:line="240" w:lineRule="auto"/>
        <w:jc w:val="center"/>
        <w:rPr>
          <w:rFonts w:ascii="Arial" w:hAnsi="Arial" w:cs="Arial"/>
          <w:b/>
          <w:color w:val="000000"/>
          <w:sz w:val="20"/>
          <w:szCs w:val="20"/>
        </w:rPr>
      </w:pPr>
      <w:r w:rsidRPr="003E41BB">
        <w:rPr>
          <w:rFonts w:ascii="Arial" w:hAnsi="Arial" w:cs="Arial"/>
          <w:b/>
          <w:color w:val="000000"/>
          <w:sz w:val="20"/>
          <w:szCs w:val="20"/>
        </w:rPr>
        <w:t xml:space="preserve">TEXTO APROBADO EN LA COMISIÓN PRIMERA DE LA HONORABLE CÁMARA DE REPRESENTANTES EN PRIMER DEBATE </w:t>
      </w:r>
      <w:r w:rsidR="00AD50ED" w:rsidRPr="003E41BB">
        <w:rPr>
          <w:rFonts w:ascii="Arial" w:hAnsi="Arial" w:cs="Arial"/>
          <w:b/>
          <w:color w:val="000000"/>
          <w:sz w:val="20"/>
          <w:szCs w:val="20"/>
        </w:rPr>
        <w:t xml:space="preserve">PRIMERA VUELTA </w:t>
      </w:r>
    </w:p>
    <w:p w14:paraId="7F6B1BEB" w14:textId="0C90B134" w:rsidR="003E41BB" w:rsidRPr="003E41BB" w:rsidRDefault="005C018D" w:rsidP="003E41BB">
      <w:pPr>
        <w:spacing w:after="0" w:line="240" w:lineRule="auto"/>
        <w:jc w:val="center"/>
        <w:rPr>
          <w:rFonts w:ascii="Arial" w:hAnsi="Arial" w:cs="Arial"/>
          <w:b/>
          <w:bCs/>
          <w:sz w:val="20"/>
          <w:szCs w:val="20"/>
        </w:rPr>
      </w:pPr>
      <w:r w:rsidRPr="003E41BB">
        <w:rPr>
          <w:rFonts w:ascii="Arial" w:eastAsiaTheme="minorEastAsia" w:hAnsi="Arial" w:cs="Arial"/>
          <w:b/>
          <w:bCs/>
          <w:sz w:val="20"/>
          <w:szCs w:val="20"/>
          <w:lang w:eastAsia="zh-CN"/>
        </w:rPr>
        <w:t xml:space="preserve">AL PROYECTO DE ACTO LEGISLATIVO </w:t>
      </w:r>
      <w:r w:rsidRPr="003E41BB">
        <w:rPr>
          <w:rFonts w:ascii="Arial" w:hAnsi="Arial" w:cs="Arial"/>
          <w:b/>
          <w:bCs/>
          <w:sz w:val="20"/>
          <w:szCs w:val="20"/>
        </w:rPr>
        <w:t xml:space="preserve">N° </w:t>
      </w:r>
      <w:r w:rsidR="003E41BB" w:rsidRPr="003E41BB">
        <w:rPr>
          <w:rFonts w:ascii="Arial" w:eastAsia="Arial" w:hAnsi="Arial" w:cs="Arial"/>
          <w:b/>
          <w:sz w:val="20"/>
          <w:szCs w:val="20"/>
        </w:rPr>
        <w:t>437 DE 2024 CÁMARA - 018 DE 2024 SENADO</w:t>
      </w:r>
    </w:p>
    <w:p w14:paraId="4B1B017A" w14:textId="77777777" w:rsidR="003E41BB" w:rsidRPr="003E41BB" w:rsidRDefault="003E41BB" w:rsidP="003E41BB">
      <w:pPr>
        <w:jc w:val="center"/>
        <w:rPr>
          <w:rFonts w:ascii="Arial" w:eastAsia="Arial" w:hAnsi="Arial" w:cs="Arial"/>
          <w:b/>
          <w:sz w:val="20"/>
          <w:szCs w:val="20"/>
        </w:rPr>
      </w:pPr>
    </w:p>
    <w:p w14:paraId="66148FF1" w14:textId="7803351D" w:rsidR="003E41BB" w:rsidRPr="003E41BB" w:rsidRDefault="00944774" w:rsidP="003E41BB">
      <w:pPr>
        <w:jc w:val="center"/>
        <w:rPr>
          <w:rFonts w:ascii="Arial" w:eastAsia="Arial" w:hAnsi="Arial" w:cs="Arial"/>
          <w:b/>
          <w:sz w:val="20"/>
          <w:szCs w:val="20"/>
        </w:rPr>
      </w:pPr>
      <w:r>
        <w:rPr>
          <w:rFonts w:ascii="Arial" w:eastAsia="Arial" w:hAnsi="Arial" w:cs="Arial"/>
          <w:b/>
          <w:sz w:val="20"/>
          <w:szCs w:val="20"/>
        </w:rPr>
        <w:t>“</w:t>
      </w:r>
      <w:r w:rsidR="003E41BB" w:rsidRPr="003E41BB">
        <w:rPr>
          <w:rFonts w:ascii="Arial" w:eastAsia="Arial" w:hAnsi="Arial" w:cs="Arial"/>
          <w:b/>
          <w:sz w:val="20"/>
          <w:szCs w:val="20"/>
        </w:rPr>
        <w:t>POR EL CUAL SE FORTALECE LA AUTONOMÍA DE LOS DEPARTAMENTOS, DISTRITOS Y MUNICIPIOS, SE MODIFICA EL ARTÍCULO 356 Y 357 DE LA CONSTITUCIÓN POLÍTICA Y SE DICTAN OTRAS DISPOSICIONES</w:t>
      </w:r>
      <w:r w:rsidR="00F66613">
        <w:rPr>
          <w:rFonts w:ascii="Arial" w:eastAsia="Arial" w:hAnsi="Arial" w:cs="Arial"/>
          <w:b/>
          <w:sz w:val="20"/>
          <w:szCs w:val="20"/>
        </w:rPr>
        <w:t>”</w:t>
      </w:r>
    </w:p>
    <w:p w14:paraId="3DE2FC99" w14:textId="77777777" w:rsidR="003E41BB" w:rsidRDefault="003E41BB" w:rsidP="003E41BB">
      <w:pPr>
        <w:jc w:val="center"/>
        <w:rPr>
          <w:rFonts w:ascii="Arial" w:eastAsia="Arial" w:hAnsi="Arial" w:cs="Arial"/>
          <w:sz w:val="20"/>
          <w:szCs w:val="20"/>
        </w:rPr>
      </w:pPr>
    </w:p>
    <w:p w14:paraId="48015093" w14:textId="77777777" w:rsidR="003E41BB" w:rsidRDefault="003E41BB" w:rsidP="003E41BB">
      <w:pPr>
        <w:jc w:val="center"/>
        <w:rPr>
          <w:rFonts w:ascii="Arial" w:eastAsia="Arial" w:hAnsi="Arial" w:cs="Arial"/>
          <w:b/>
          <w:sz w:val="20"/>
          <w:szCs w:val="20"/>
        </w:rPr>
      </w:pPr>
      <w:r>
        <w:rPr>
          <w:rFonts w:ascii="Arial" w:eastAsia="Arial" w:hAnsi="Arial" w:cs="Arial"/>
          <w:b/>
          <w:sz w:val="20"/>
          <w:szCs w:val="20"/>
        </w:rPr>
        <w:t>EL CONGRESO DE COLOMBIA</w:t>
      </w:r>
    </w:p>
    <w:p w14:paraId="757CECD1" w14:textId="77777777" w:rsidR="003E41BB" w:rsidRDefault="003E41BB" w:rsidP="003E41BB">
      <w:pPr>
        <w:jc w:val="center"/>
        <w:rPr>
          <w:rFonts w:ascii="Arial" w:eastAsia="Arial" w:hAnsi="Arial" w:cs="Arial"/>
          <w:b/>
          <w:sz w:val="20"/>
          <w:szCs w:val="20"/>
        </w:rPr>
      </w:pPr>
    </w:p>
    <w:p w14:paraId="549610D3" w14:textId="77777777" w:rsidR="003E41BB" w:rsidRDefault="003E41BB" w:rsidP="003E41BB">
      <w:pPr>
        <w:jc w:val="center"/>
        <w:rPr>
          <w:rFonts w:ascii="Arial" w:eastAsia="Arial" w:hAnsi="Arial" w:cs="Arial"/>
          <w:b/>
          <w:sz w:val="20"/>
          <w:szCs w:val="20"/>
        </w:rPr>
      </w:pPr>
      <w:r>
        <w:rPr>
          <w:rFonts w:ascii="Arial" w:eastAsia="Arial" w:hAnsi="Arial" w:cs="Arial"/>
          <w:b/>
          <w:sz w:val="20"/>
          <w:szCs w:val="20"/>
        </w:rPr>
        <w:t>DECRETA:</w:t>
      </w:r>
    </w:p>
    <w:p w14:paraId="1C105515" w14:textId="77777777" w:rsidR="003E41BB" w:rsidRDefault="003E41BB" w:rsidP="003E41BB">
      <w:pPr>
        <w:jc w:val="both"/>
        <w:rPr>
          <w:rFonts w:ascii="Arial" w:eastAsia="Arial" w:hAnsi="Arial" w:cs="Arial"/>
          <w:b/>
          <w:sz w:val="20"/>
          <w:szCs w:val="20"/>
        </w:rPr>
      </w:pPr>
    </w:p>
    <w:p w14:paraId="6D0FB820" w14:textId="3973425C" w:rsidR="003E41BB" w:rsidRDefault="003E41BB" w:rsidP="003E41BB">
      <w:pPr>
        <w:jc w:val="both"/>
        <w:rPr>
          <w:rFonts w:ascii="Arial" w:eastAsia="Arial" w:hAnsi="Arial" w:cs="Arial"/>
          <w:sz w:val="20"/>
          <w:szCs w:val="20"/>
        </w:rPr>
      </w:pPr>
      <w:r>
        <w:rPr>
          <w:rFonts w:ascii="Arial" w:eastAsia="Arial" w:hAnsi="Arial" w:cs="Arial"/>
          <w:b/>
          <w:sz w:val="20"/>
          <w:szCs w:val="20"/>
        </w:rPr>
        <w:t xml:space="preserve">ARTÍCULO 1. </w:t>
      </w:r>
      <w:r>
        <w:rPr>
          <w:rFonts w:ascii="Arial" w:eastAsia="Arial" w:hAnsi="Arial" w:cs="Arial"/>
          <w:sz w:val="20"/>
          <w:szCs w:val="20"/>
        </w:rPr>
        <w:t xml:space="preserve">Modifíquese el artículo 356 de la Constitución Política, el cual quedará así:  </w:t>
      </w:r>
    </w:p>
    <w:p w14:paraId="0F17858F" w14:textId="77777777" w:rsidR="003E41BB" w:rsidRDefault="003E41BB" w:rsidP="003E41BB">
      <w:pPr>
        <w:jc w:val="both"/>
        <w:rPr>
          <w:rFonts w:ascii="Arial" w:eastAsia="Arial" w:hAnsi="Arial" w:cs="Arial"/>
          <w:sz w:val="20"/>
          <w:szCs w:val="20"/>
        </w:rPr>
      </w:pPr>
    </w:p>
    <w:p w14:paraId="146B8203" w14:textId="77777777" w:rsidR="003E41BB" w:rsidRDefault="003E41BB" w:rsidP="003E41BB">
      <w:pPr>
        <w:jc w:val="both"/>
        <w:rPr>
          <w:rFonts w:ascii="Arial" w:eastAsia="Arial" w:hAnsi="Arial" w:cs="Arial"/>
          <w:sz w:val="20"/>
          <w:szCs w:val="20"/>
        </w:rPr>
      </w:pPr>
      <w:r w:rsidRPr="000B3E82">
        <w:rPr>
          <w:rFonts w:ascii="Arial" w:eastAsia="Arial" w:hAnsi="Arial" w:cs="Arial"/>
          <w:b/>
          <w:sz w:val="20"/>
          <w:szCs w:val="20"/>
        </w:rPr>
        <w:t>ARTÍCULO 356</w:t>
      </w:r>
      <w:r>
        <w:rPr>
          <w:rFonts w:ascii="Arial" w:eastAsia="Arial" w:hAnsi="Arial" w:cs="Arial"/>
          <w:sz w:val="20"/>
          <w:szCs w:val="20"/>
        </w:rPr>
        <w:t xml:space="preserve">. 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  </w:t>
      </w:r>
    </w:p>
    <w:p w14:paraId="7B67765E" w14:textId="77777777" w:rsidR="003E41BB" w:rsidRDefault="003E41BB" w:rsidP="003E41BB">
      <w:pPr>
        <w:jc w:val="both"/>
        <w:rPr>
          <w:rFonts w:ascii="Arial" w:eastAsia="Arial" w:hAnsi="Arial" w:cs="Arial"/>
          <w:sz w:val="20"/>
          <w:szCs w:val="20"/>
        </w:rPr>
      </w:pPr>
    </w:p>
    <w:p w14:paraId="4B34E6B7" w14:textId="77777777" w:rsidR="003E41BB" w:rsidRDefault="003E41BB" w:rsidP="003E41BB">
      <w:pPr>
        <w:jc w:val="both"/>
        <w:rPr>
          <w:rFonts w:ascii="Arial" w:eastAsia="Arial" w:hAnsi="Arial" w:cs="Arial"/>
          <w:sz w:val="20"/>
          <w:szCs w:val="20"/>
        </w:rPr>
      </w:pPr>
      <w:r>
        <w:rPr>
          <w:rFonts w:ascii="Arial" w:eastAsia="Arial" w:hAnsi="Arial" w:cs="Arial"/>
          <w:sz w:val="20"/>
          <w:szCs w:val="20"/>
        </w:rPr>
        <w:t>Los Distritos tendrán las mismas competencias que los municipios y departamentos para efectos de la distribución del Sistema General de Participaciones que establezca la ley.</w:t>
      </w:r>
    </w:p>
    <w:p w14:paraId="4783C9FB" w14:textId="77777777" w:rsidR="003E41BB" w:rsidRDefault="003E41BB" w:rsidP="003E41BB">
      <w:pPr>
        <w:jc w:val="both"/>
        <w:rPr>
          <w:rFonts w:ascii="Arial" w:eastAsia="Arial" w:hAnsi="Arial" w:cs="Arial"/>
          <w:sz w:val="20"/>
          <w:szCs w:val="20"/>
        </w:rPr>
      </w:pPr>
    </w:p>
    <w:p w14:paraId="25E8714F" w14:textId="6E7EA9E7" w:rsidR="003E41BB" w:rsidRDefault="003E41BB" w:rsidP="003E41BB">
      <w:pPr>
        <w:jc w:val="both"/>
        <w:rPr>
          <w:rFonts w:ascii="Arial" w:eastAsia="Arial" w:hAnsi="Arial" w:cs="Arial"/>
          <w:sz w:val="20"/>
          <w:szCs w:val="20"/>
        </w:rPr>
      </w:pPr>
      <w:r>
        <w:rPr>
          <w:rFonts w:ascii="Arial" w:eastAsia="Arial" w:hAnsi="Arial" w:cs="Arial"/>
          <w:sz w:val="20"/>
          <w:szCs w:val="20"/>
        </w:rPr>
        <w:t>Para estos efectos, serán beneficiarias las entidades territoriales, incluidas las indígenas, una</w:t>
      </w:r>
      <w:r w:rsidR="00E11683">
        <w:rPr>
          <w:rFonts w:ascii="Arial" w:eastAsia="Arial" w:hAnsi="Arial" w:cs="Arial"/>
          <w:sz w:val="20"/>
          <w:szCs w:val="20"/>
        </w:rPr>
        <w:t xml:space="preserve"> vez </w:t>
      </w:r>
      <w:r>
        <w:rPr>
          <w:rFonts w:ascii="Arial" w:eastAsia="Arial" w:hAnsi="Arial" w:cs="Arial"/>
          <w:sz w:val="20"/>
          <w:szCs w:val="20"/>
        </w:rPr>
        <w:t xml:space="preserve">constituidas. Así mismo, la ley establecerá como beneficiarios a los resguardos indígenas.  </w:t>
      </w:r>
    </w:p>
    <w:p w14:paraId="614FB658" w14:textId="77777777" w:rsidR="003E41BB" w:rsidRDefault="003E41BB" w:rsidP="003E41BB">
      <w:pPr>
        <w:jc w:val="both"/>
        <w:rPr>
          <w:rFonts w:ascii="Arial" w:eastAsia="Arial" w:hAnsi="Arial" w:cs="Arial"/>
          <w:sz w:val="20"/>
          <w:szCs w:val="20"/>
        </w:rPr>
      </w:pPr>
    </w:p>
    <w:p w14:paraId="4A133538" w14:textId="64C1B229" w:rsidR="003E41BB" w:rsidRDefault="003E41BB" w:rsidP="003E41BB">
      <w:pPr>
        <w:jc w:val="both"/>
        <w:rPr>
          <w:rFonts w:ascii="Arial" w:eastAsia="Arial" w:hAnsi="Arial" w:cs="Arial"/>
          <w:sz w:val="20"/>
          <w:szCs w:val="20"/>
        </w:rPr>
      </w:pPr>
      <w:r>
        <w:rPr>
          <w:rFonts w:ascii="Arial" w:eastAsia="Arial" w:hAnsi="Arial" w:cs="Arial"/>
          <w:sz w:val="20"/>
          <w:szCs w:val="20"/>
        </w:rPr>
        <w:t>Los recursos del Sistema General de Participaciones de los Departamentos, Distritos y Municipios se destinarán a la financiación de los servicios a su cargo, dándoles prio</w:t>
      </w:r>
      <w:r w:rsidR="00E11683">
        <w:rPr>
          <w:rFonts w:ascii="Arial" w:eastAsia="Arial" w:hAnsi="Arial" w:cs="Arial"/>
          <w:sz w:val="20"/>
          <w:szCs w:val="20"/>
        </w:rPr>
        <w:t xml:space="preserve">ridad al servicio de salud, </w:t>
      </w:r>
      <w:proofErr w:type="spellStart"/>
      <w:r w:rsidR="00E11683">
        <w:rPr>
          <w:rFonts w:ascii="Arial" w:eastAsia="Arial" w:hAnsi="Arial" w:cs="Arial"/>
          <w:sz w:val="20"/>
          <w:szCs w:val="20"/>
        </w:rPr>
        <w:t>Ios</w:t>
      </w:r>
      <w:proofErr w:type="spellEnd"/>
      <w:r w:rsidR="00E11683">
        <w:rPr>
          <w:rFonts w:ascii="Arial" w:eastAsia="Arial" w:hAnsi="Arial" w:cs="Arial"/>
          <w:sz w:val="20"/>
          <w:szCs w:val="20"/>
        </w:rPr>
        <w:t xml:space="preserve"> </w:t>
      </w:r>
      <w:r>
        <w:rPr>
          <w:rFonts w:ascii="Arial" w:eastAsia="Arial" w:hAnsi="Arial" w:cs="Arial"/>
          <w:sz w:val="20"/>
          <w:szCs w:val="20"/>
        </w:rPr>
        <w:t xml:space="preserve">servicios de educación, preescolar, primaria, secundaria y media, y servicios públicos domiciliarios de agua potable y saneamiento básico, garantizando la prestación y la ampliación de coberturas con énfasis en la población pobre. </w:t>
      </w:r>
    </w:p>
    <w:p w14:paraId="5DED8AB8" w14:textId="77777777" w:rsidR="003E41BB" w:rsidRDefault="003E41BB" w:rsidP="003E41BB">
      <w:pPr>
        <w:jc w:val="both"/>
        <w:rPr>
          <w:rFonts w:ascii="Arial" w:eastAsia="Arial" w:hAnsi="Arial" w:cs="Arial"/>
          <w:sz w:val="20"/>
          <w:szCs w:val="20"/>
        </w:rPr>
      </w:pPr>
    </w:p>
    <w:p w14:paraId="7CEFABD4" w14:textId="77777777" w:rsidR="003E41BB" w:rsidRDefault="003E41BB" w:rsidP="003E41BB">
      <w:pPr>
        <w:jc w:val="both"/>
        <w:rPr>
          <w:rFonts w:ascii="Arial" w:eastAsia="Arial" w:hAnsi="Arial" w:cs="Arial"/>
          <w:sz w:val="20"/>
          <w:szCs w:val="20"/>
        </w:rPr>
      </w:pPr>
      <w:r>
        <w:rPr>
          <w:rFonts w:ascii="Arial" w:eastAsia="Arial" w:hAnsi="Arial" w:cs="Arial"/>
          <w:sz w:val="20"/>
          <w:szCs w:val="20"/>
        </w:rPr>
        <w:t xml:space="preserve">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  </w:t>
      </w:r>
    </w:p>
    <w:p w14:paraId="119FCEF1" w14:textId="77777777" w:rsidR="003E41BB" w:rsidRDefault="003E41BB" w:rsidP="003E41BB">
      <w:pPr>
        <w:jc w:val="both"/>
        <w:rPr>
          <w:rFonts w:ascii="Arial" w:eastAsia="Arial" w:hAnsi="Arial" w:cs="Arial"/>
          <w:sz w:val="20"/>
          <w:szCs w:val="20"/>
        </w:rPr>
      </w:pPr>
    </w:p>
    <w:p w14:paraId="3AD2AED2" w14:textId="3C35A294" w:rsidR="003E41BB" w:rsidRDefault="003E41BB" w:rsidP="003E41BB">
      <w:pPr>
        <w:jc w:val="both"/>
        <w:rPr>
          <w:rFonts w:ascii="Arial" w:eastAsia="Arial" w:hAnsi="Arial" w:cs="Arial"/>
          <w:sz w:val="20"/>
          <w:szCs w:val="20"/>
        </w:rPr>
      </w:pPr>
      <w:r>
        <w:rPr>
          <w:rFonts w:ascii="Arial" w:eastAsia="Arial" w:hAnsi="Arial" w:cs="Arial"/>
          <w:sz w:val="20"/>
          <w:szCs w:val="20"/>
        </w:rPr>
        <w:t>La ley reglamentará los criterios de distribución del Sistema Gen</w:t>
      </w:r>
      <w:r w:rsidR="000B3E82">
        <w:rPr>
          <w:rFonts w:ascii="Arial" w:eastAsia="Arial" w:hAnsi="Arial" w:cs="Arial"/>
          <w:sz w:val="20"/>
          <w:szCs w:val="20"/>
        </w:rPr>
        <w:t xml:space="preserve">eral de Participaciones de los </w:t>
      </w:r>
      <w:r>
        <w:rPr>
          <w:rFonts w:ascii="Arial" w:eastAsia="Arial" w:hAnsi="Arial" w:cs="Arial"/>
          <w:sz w:val="20"/>
          <w:szCs w:val="20"/>
        </w:rPr>
        <w:t>Departamentos, Distritos y Municipios, de acuerdo con las compete</w:t>
      </w:r>
      <w:r w:rsidR="000B3E82">
        <w:rPr>
          <w:rFonts w:ascii="Arial" w:eastAsia="Arial" w:hAnsi="Arial" w:cs="Arial"/>
          <w:sz w:val="20"/>
          <w:szCs w:val="20"/>
        </w:rPr>
        <w:t xml:space="preserve">ncias que le asigne a cada una </w:t>
      </w:r>
      <w:r>
        <w:rPr>
          <w:rFonts w:ascii="Arial" w:eastAsia="Arial" w:hAnsi="Arial" w:cs="Arial"/>
          <w:sz w:val="20"/>
          <w:szCs w:val="20"/>
        </w:rPr>
        <w:t>de estas entidades; y contendrá las disposiciones necesarias para</w:t>
      </w:r>
      <w:r w:rsidR="000B3E82">
        <w:rPr>
          <w:rFonts w:ascii="Arial" w:eastAsia="Arial" w:hAnsi="Arial" w:cs="Arial"/>
          <w:sz w:val="20"/>
          <w:szCs w:val="20"/>
        </w:rPr>
        <w:t xml:space="preserve"> poner en operación el Sistema </w:t>
      </w:r>
      <w:r>
        <w:rPr>
          <w:rFonts w:ascii="Arial" w:eastAsia="Arial" w:hAnsi="Arial" w:cs="Arial"/>
          <w:sz w:val="20"/>
          <w:szCs w:val="20"/>
        </w:rPr>
        <w:t>General de Participaciones de éstas, incorporando principios sobre di</w:t>
      </w:r>
      <w:r w:rsidR="000B3E82">
        <w:rPr>
          <w:rFonts w:ascii="Arial" w:eastAsia="Arial" w:hAnsi="Arial" w:cs="Arial"/>
          <w:sz w:val="20"/>
          <w:szCs w:val="20"/>
        </w:rPr>
        <w:t>stribución que tengan en cuenta</w:t>
      </w:r>
      <w:r>
        <w:rPr>
          <w:rFonts w:ascii="Arial" w:eastAsia="Arial" w:hAnsi="Arial" w:cs="Arial"/>
          <w:sz w:val="20"/>
          <w:szCs w:val="20"/>
        </w:rPr>
        <w:t xml:space="preserve"> los siguientes criterios:</w:t>
      </w:r>
    </w:p>
    <w:p w14:paraId="3F897BC4" w14:textId="77777777" w:rsidR="003E41BB" w:rsidRDefault="003E41BB" w:rsidP="003E41BB">
      <w:pPr>
        <w:jc w:val="both"/>
        <w:rPr>
          <w:rFonts w:ascii="Arial" w:eastAsia="Arial" w:hAnsi="Arial" w:cs="Arial"/>
          <w:sz w:val="20"/>
          <w:szCs w:val="20"/>
        </w:rPr>
      </w:pPr>
    </w:p>
    <w:p w14:paraId="185DE100" w14:textId="77777777" w:rsidR="003E41BB" w:rsidRDefault="003E41BB" w:rsidP="003E41BB">
      <w:pPr>
        <w:numPr>
          <w:ilvl w:val="0"/>
          <w:numId w:val="53"/>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color w:val="000000"/>
          <w:sz w:val="20"/>
          <w:szCs w:val="20"/>
        </w:rPr>
        <w:t xml:space="preserve">Para educación, salud y agua potable y saneamiento básico: población atendida y por atender, reparto entre población urbana y rural y equidad. En la distribución por entidad territorial de cada uno de los componentes del Sistema General de Participaciones, se dará prioridad a factores que favorezcan a la población pobre, en los términos que establezca la ley.  </w:t>
      </w:r>
    </w:p>
    <w:p w14:paraId="6E2AE643" w14:textId="77777777" w:rsidR="00AE03DB" w:rsidRDefault="003E41BB" w:rsidP="003E41BB">
      <w:pPr>
        <w:numPr>
          <w:ilvl w:val="0"/>
          <w:numId w:val="53"/>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color w:val="000000"/>
          <w:sz w:val="20"/>
          <w:szCs w:val="20"/>
        </w:rPr>
        <w:t xml:space="preserve">Para otros sectores: población, reparto entre población urbana y rural y pobreza relativa.  </w:t>
      </w:r>
      <w:r>
        <w:rPr>
          <w:rFonts w:ascii="Arial" w:eastAsia="Arial" w:hAnsi="Arial" w:cs="Arial"/>
          <w:sz w:val="20"/>
          <w:szCs w:val="20"/>
        </w:rPr>
        <w:t xml:space="preserve"> </w:t>
      </w:r>
    </w:p>
    <w:p w14:paraId="7FB7D910" w14:textId="77777777" w:rsidR="00AE03DB" w:rsidRDefault="00AE03DB" w:rsidP="00AE03DB">
      <w:pPr>
        <w:pBdr>
          <w:top w:val="nil"/>
          <w:left w:val="nil"/>
          <w:bottom w:val="nil"/>
          <w:right w:val="nil"/>
          <w:between w:val="nil"/>
        </w:pBdr>
        <w:spacing w:after="0" w:line="240" w:lineRule="auto"/>
        <w:jc w:val="both"/>
        <w:rPr>
          <w:rFonts w:ascii="Arial" w:eastAsia="Arial" w:hAnsi="Arial" w:cs="Arial"/>
          <w:sz w:val="20"/>
          <w:szCs w:val="20"/>
        </w:rPr>
      </w:pPr>
    </w:p>
    <w:p w14:paraId="0512191F" w14:textId="77777777" w:rsidR="00AE03DB" w:rsidRDefault="00AE03DB" w:rsidP="00AE03DB">
      <w:pPr>
        <w:pBdr>
          <w:top w:val="nil"/>
          <w:left w:val="nil"/>
          <w:bottom w:val="nil"/>
          <w:right w:val="nil"/>
          <w:between w:val="nil"/>
        </w:pBdr>
        <w:spacing w:after="0" w:line="240" w:lineRule="auto"/>
        <w:jc w:val="both"/>
        <w:rPr>
          <w:rFonts w:ascii="Arial" w:eastAsia="Arial" w:hAnsi="Arial" w:cs="Arial"/>
          <w:sz w:val="20"/>
          <w:szCs w:val="20"/>
        </w:rPr>
      </w:pPr>
    </w:p>
    <w:p w14:paraId="7C325F0B" w14:textId="46D56F0D" w:rsidR="00AE03DB" w:rsidRDefault="003E41BB" w:rsidP="00AE03DB">
      <w:pPr>
        <w:pBdr>
          <w:top w:val="nil"/>
          <w:left w:val="nil"/>
          <w:bottom w:val="nil"/>
          <w:right w:val="nil"/>
          <w:between w:val="nil"/>
        </w:pBdr>
        <w:spacing w:after="0" w:line="240" w:lineRule="auto"/>
        <w:jc w:val="both"/>
        <w:rPr>
          <w:rFonts w:ascii="Arial" w:eastAsia="Arial" w:hAnsi="Arial" w:cs="Arial"/>
          <w:sz w:val="20"/>
          <w:szCs w:val="20"/>
        </w:rPr>
      </w:pPr>
      <w:r w:rsidRPr="00AE03DB">
        <w:rPr>
          <w:rFonts w:ascii="Arial" w:eastAsia="Arial" w:hAnsi="Arial" w:cs="Arial"/>
          <w:sz w:val="20"/>
          <w:szCs w:val="20"/>
        </w:rPr>
        <w:t xml:space="preserve">No se podrá descentralizar competencias sin la previa asignación de los recursos fiscales suficientes para atenderlas. </w:t>
      </w:r>
    </w:p>
    <w:p w14:paraId="42E69F75" w14:textId="2E476D5E" w:rsidR="00AE03DB" w:rsidRDefault="00AE03DB" w:rsidP="00AE03DB">
      <w:pPr>
        <w:pBdr>
          <w:top w:val="nil"/>
          <w:left w:val="nil"/>
          <w:bottom w:val="nil"/>
          <w:right w:val="nil"/>
          <w:between w:val="nil"/>
        </w:pBdr>
        <w:spacing w:after="0" w:line="240" w:lineRule="auto"/>
        <w:jc w:val="both"/>
        <w:rPr>
          <w:rFonts w:ascii="Arial" w:eastAsia="Arial" w:hAnsi="Arial" w:cs="Arial"/>
          <w:sz w:val="20"/>
          <w:szCs w:val="20"/>
        </w:rPr>
      </w:pPr>
    </w:p>
    <w:p w14:paraId="053B7609" w14:textId="77777777" w:rsidR="00AE03DB" w:rsidRDefault="00AE03DB" w:rsidP="00AE03DB">
      <w:pPr>
        <w:pBdr>
          <w:top w:val="nil"/>
          <w:left w:val="nil"/>
          <w:bottom w:val="nil"/>
          <w:right w:val="nil"/>
          <w:between w:val="nil"/>
        </w:pBdr>
        <w:spacing w:after="0" w:line="240" w:lineRule="auto"/>
        <w:jc w:val="both"/>
        <w:rPr>
          <w:rFonts w:ascii="Arial" w:eastAsia="Arial" w:hAnsi="Arial" w:cs="Arial"/>
          <w:sz w:val="20"/>
          <w:szCs w:val="20"/>
        </w:rPr>
      </w:pPr>
    </w:p>
    <w:p w14:paraId="2539FACA" w14:textId="16C591A6" w:rsidR="003E41BB" w:rsidRDefault="003E41BB" w:rsidP="00AE03DB">
      <w:pPr>
        <w:pBdr>
          <w:top w:val="nil"/>
          <w:left w:val="nil"/>
          <w:bottom w:val="nil"/>
          <w:right w:val="nil"/>
          <w:between w:val="nil"/>
        </w:pBdr>
        <w:spacing w:after="0" w:line="240" w:lineRule="auto"/>
        <w:jc w:val="both"/>
        <w:rPr>
          <w:rFonts w:ascii="Arial" w:eastAsia="Arial" w:hAnsi="Arial" w:cs="Arial"/>
          <w:sz w:val="20"/>
          <w:szCs w:val="20"/>
        </w:rPr>
      </w:pPr>
      <w:r w:rsidRPr="00AE03DB">
        <w:rPr>
          <w:rFonts w:ascii="Arial" w:eastAsia="Arial" w:hAnsi="Arial" w:cs="Arial"/>
          <w:sz w:val="20"/>
          <w:szCs w:val="20"/>
        </w:rPr>
        <w:t xml:space="preserve">La ley establecerá que, dentro de los criterios de distribución del Sistema General de Participaciones, se </w:t>
      </w:r>
      <w:r w:rsidR="00E11683" w:rsidRPr="00AE03DB">
        <w:rPr>
          <w:rFonts w:ascii="Arial" w:eastAsia="Arial" w:hAnsi="Arial" w:cs="Arial"/>
          <w:sz w:val="20"/>
          <w:szCs w:val="20"/>
        </w:rPr>
        <w:t xml:space="preserve">tendrá en cuenta </w:t>
      </w:r>
      <w:r w:rsidRPr="00AE03DB">
        <w:rPr>
          <w:rFonts w:ascii="Arial" w:eastAsia="Arial" w:hAnsi="Arial" w:cs="Arial"/>
          <w:sz w:val="20"/>
          <w:szCs w:val="20"/>
        </w:rPr>
        <w:t>la asignación de recursos a la protección de páramos y cuencas hidrográficas.</w:t>
      </w:r>
    </w:p>
    <w:p w14:paraId="347151F1" w14:textId="05FE475E" w:rsidR="00AE03DB" w:rsidRDefault="00AE03DB" w:rsidP="00AE03DB">
      <w:pPr>
        <w:pBdr>
          <w:top w:val="nil"/>
          <w:left w:val="nil"/>
          <w:bottom w:val="nil"/>
          <w:right w:val="nil"/>
          <w:between w:val="nil"/>
        </w:pBdr>
        <w:spacing w:after="0" w:line="240" w:lineRule="auto"/>
        <w:jc w:val="both"/>
        <w:rPr>
          <w:rFonts w:ascii="Arial" w:eastAsia="Arial" w:hAnsi="Arial" w:cs="Arial"/>
          <w:sz w:val="20"/>
          <w:szCs w:val="20"/>
        </w:rPr>
      </w:pPr>
    </w:p>
    <w:p w14:paraId="0704A2F0" w14:textId="77777777" w:rsidR="00AE03DB" w:rsidRDefault="00AE03DB" w:rsidP="00AE03DB">
      <w:pPr>
        <w:pBdr>
          <w:top w:val="nil"/>
          <w:left w:val="nil"/>
          <w:bottom w:val="nil"/>
          <w:right w:val="nil"/>
          <w:between w:val="nil"/>
        </w:pBdr>
        <w:spacing w:after="0" w:line="240" w:lineRule="auto"/>
        <w:jc w:val="both"/>
        <w:rPr>
          <w:rFonts w:ascii="Arial" w:eastAsia="Arial" w:hAnsi="Arial" w:cs="Arial"/>
          <w:sz w:val="20"/>
          <w:szCs w:val="20"/>
        </w:rPr>
      </w:pPr>
    </w:p>
    <w:p w14:paraId="3C56E8C1" w14:textId="59DB5ECB" w:rsidR="003E41BB" w:rsidRDefault="003E41BB" w:rsidP="003E41BB">
      <w:pPr>
        <w:jc w:val="both"/>
        <w:rPr>
          <w:rFonts w:ascii="Arial" w:eastAsia="Arial" w:hAnsi="Arial" w:cs="Arial"/>
          <w:sz w:val="20"/>
          <w:szCs w:val="20"/>
        </w:rPr>
      </w:pPr>
      <w:r>
        <w:rPr>
          <w:rFonts w:ascii="Arial" w:eastAsia="Arial" w:hAnsi="Arial" w:cs="Arial"/>
          <w:sz w:val="20"/>
          <w:szCs w:val="20"/>
        </w:rPr>
        <w:t>Los recursos del Sistema General de Participaciones se distribuirán a los Depart</w:t>
      </w:r>
      <w:r w:rsidR="00944774">
        <w:rPr>
          <w:rFonts w:ascii="Arial" w:eastAsia="Arial" w:hAnsi="Arial" w:cs="Arial"/>
          <w:sz w:val="20"/>
          <w:szCs w:val="20"/>
        </w:rPr>
        <w:t>amentos, Distritos y Municipios. L</w:t>
      </w:r>
      <w:r>
        <w:rPr>
          <w:rFonts w:ascii="Arial" w:eastAsia="Arial" w:hAnsi="Arial" w:cs="Arial"/>
          <w:sz w:val="20"/>
          <w:szCs w:val="20"/>
        </w:rPr>
        <w:t xml:space="preserve">a ley definirá la posterior distribución por sectores.  </w:t>
      </w:r>
    </w:p>
    <w:p w14:paraId="6D2C17FE" w14:textId="77777777" w:rsidR="003E41BB" w:rsidRDefault="003E41BB" w:rsidP="003E41BB">
      <w:pPr>
        <w:jc w:val="both"/>
        <w:rPr>
          <w:rFonts w:ascii="Arial" w:eastAsia="Arial" w:hAnsi="Arial" w:cs="Arial"/>
          <w:sz w:val="20"/>
          <w:szCs w:val="20"/>
        </w:rPr>
      </w:pPr>
    </w:p>
    <w:p w14:paraId="4FA149FB" w14:textId="77777777" w:rsidR="003E41BB" w:rsidRDefault="003E41BB" w:rsidP="003E41BB">
      <w:pPr>
        <w:jc w:val="both"/>
        <w:rPr>
          <w:rFonts w:ascii="Arial" w:eastAsia="Arial" w:hAnsi="Arial" w:cs="Arial"/>
          <w:sz w:val="20"/>
          <w:szCs w:val="20"/>
        </w:rPr>
      </w:pPr>
      <w:r>
        <w:rPr>
          <w:rFonts w:ascii="Arial" w:eastAsia="Arial" w:hAnsi="Arial" w:cs="Arial"/>
          <w:sz w:val="20"/>
          <w:szCs w:val="20"/>
        </w:rPr>
        <w:t>El monto de recursos que se asigne para los sectores de salud y educación no podrá ser inferior al que se transfería al momento de la expedición del presente acto legislativo a cada uno de estos sectores.</w:t>
      </w:r>
    </w:p>
    <w:p w14:paraId="79A012CC" w14:textId="77777777" w:rsidR="003E41BB" w:rsidRDefault="003E41BB" w:rsidP="003E41BB">
      <w:pPr>
        <w:jc w:val="both"/>
        <w:rPr>
          <w:rFonts w:ascii="Arial" w:eastAsia="Arial" w:hAnsi="Arial" w:cs="Arial"/>
          <w:sz w:val="20"/>
          <w:szCs w:val="20"/>
        </w:rPr>
      </w:pPr>
    </w:p>
    <w:p w14:paraId="0CFE1C8A" w14:textId="77777777" w:rsidR="003E41BB" w:rsidRDefault="003E41BB" w:rsidP="003E41BB">
      <w:pPr>
        <w:jc w:val="both"/>
        <w:rPr>
          <w:rFonts w:ascii="Arial" w:eastAsia="Arial" w:hAnsi="Arial" w:cs="Arial"/>
          <w:sz w:val="20"/>
          <w:szCs w:val="20"/>
        </w:rPr>
      </w:pPr>
      <w:r>
        <w:rPr>
          <w:rFonts w:ascii="Arial" w:eastAsia="Arial" w:hAnsi="Arial" w:cs="Arial"/>
          <w:sz w:val="20"/>
          <w:szCs w:val="20"/>
        </w:rPr>
        <w:t xml:space="preserve">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  </w:t>
      </w:r>
    </w:p>
    <w:p w14:paraId="0B999A80" w14:textId="77777777" w:rsidR="003E41BB" w:rsidRDefault="003E41BB" w:rsidP="003E41BB">
      <w:pPr>
        <w:jc w:val="both"/>
        <w:rPr>
          <w:rFonts w:ascii="Arial" w:eastAsia="Arial" w:hAnsi="Arial" w:cs="Arial"/>
          <w:sz w:val="20"/>
          <w:szCs w:val="20"/>
        </w:rPr>
      </w:pPr>
    </w:p>
    <w:p w14:paraId="1EC8D51A" w14:textId="77777777" w:rsidR="003E41BB" w:rsidRDefault="003E41BB" w:rsidP="003E41BB">
      <w:pPr>
        <w:jc w:val="both"/>
        <w:rPr>
          <w:rFonts w:ascii="Arial" w:eastAsia="Arial" w:hAnsi="Arial" w:cs="Arial"/>
          <w:sz w:val="20"/>
          <w:szCs w:val="20"/>
        </w:rPr>
      </w:pPr>
      <w:r>
        <w:rPr>
          <w:rFonts w:ascii="Arial" w:eastAsia="Arial" w:hAnsi="Arial" w:cs="Arial"/>
          <w:sz w:val="20"/>
          <w:szCs w:val="20"/>
        </w:rPr>
        <w:t xml:space="preserve">La ciudad de Barrancabermeja se organiza como Distrito Especial Portuario, Biodiverso, Industrial y Turístico. Su régimen político, fiscal y administrativo será el que determine la Constitución y las leyes especiales que para el efecto se dicten, y en lo no dispuesto en ellas las normas vigentes para los municipios.  </w:t>
      </w:r>
    </w:p>
    <w:p w14:paraId="19A40D8E" w14:textId="77777777" w:rsidR="003E41BB" w:rsidRDefault="003E41BB" w:rsidP="003E41BB">
      <w:pPr>
        <w:jc w:val="both"/>
        <w:rPr>
          <w:rFonts w:ascii="Arial" w:eastAsia="Arial" w:hAnsi="Arial" w:cs="Arial"/>
          <w:sz w:val="20"/>
          <w:szCs w:val="20"/>
        </w:rPr>
      </w:pPr>
    </w:p>
    <w:p w14:paraId="45A8C286" w14:textId="616F0643" w:rsidR="003E41BB" w:rsidRDefault="003E41BB" w:rsidP="003E41BB">
      <w:pPr>
        <w:jc w:val="both"/>
        <w:rPr>
          <w:rFonts w:ascii="Arial" w:eastAsia="Arial" w:hAnsi="Arial" w:cs="Arial"/>
          <w:sz w:val="20"/>
          <w:szCs w:val="20"/>
        </w:rPr>
      </w:pPr>
      <w:r>
        <w:rPr>
          <w:rFonts w:ascii="Arial" w:eastAsia="Arial" w:hAnsi="Arial" w:cs="Arial"/>
          <w:sz w:val="20"/>
          <w:szCs w:val="20"/>
        </w:rPr>
        <w:t>La ciudad de Medellín se organiza como Distrito Especial de Ciencia, Tecnología e Innovación, su régimen político y fiscal será el previsto en la Constitución y las leyes</w:t>
      </w:r>
      <w:r w:rsidR="00E11683">
        <w:rPr>
          <w:rFonts w:ascii="Arial" w:eastAsia="Arial" w:hAnsi="Arial" w:cs="Arial"/>
          <w:sz w:val="20"/>
          <w:szCs w:val="20"/>
        </w:rPr>
        <w:t xml:space="preserve"> especiales que para el efecto </w:t>
      </w:r>
      <w:r>
        <w:rPr>
          <w:rFonts w:ascii="Arial" w:eastAsia="Arial" w:hAnsi="Arial" w:cs="Arial"/>
          <w:sz w:val="20"/>
          <w:szCs w:val="20"/>
        </w:rPr>
        <w:t xml:space="preserve">se dicten.  </w:t>
      </w:r>
    </w:p>
    <w:p w14:paraId="763B6285" w14:textId="77777777" w:rsidR="003E41BB" w:rsidRDefault="003E41BB" w:rsidP="003E41BB">
      <w:pPr>
        <w:jc w:val="both"/>
        <w:rPr>
          <w:rFonts w:ascii="Arial" w:eastAsia="Arial" w:hAnsi="Arial" w:cs="Arial"/>
          <w:sz w:val="20"/>
          <w:szCs w:val="20"/>
        </w:rPr>
      </w:pPr>
    </w:p>
    <w:p w14:paraId="5F3F9255" w14:textId="77777777" w:rsidR="003E41BB" w:rsidRDefault="003E41BB" w:rsidP="003E41BB">
      <w:pPr>
        <w:jc w:val="both"/>
        <w:rPr>
          <w:rFonts w:ascii="Arial" w:eastAsia="Arial" w:hAnsi="Arial" w:cs="Arial"/>
          <w:sz w:val="20"/>
          <w:szCs w:val="20"/>
        </w:rPr>
      </w:pPr>
      <w:r>
        <w:rPr>
          <w:rFonts w:ascii="Arial" w:eastAsia="Arial" w:hAnsi="Arial" w:cs="Arial"/>
          <w:b/>
          <w:sz w:val="20"/>
          <w:szCs w:val="20"/>
        </w:rPr>
        <w:lastRenderedPageBreak/>
        <w:t>PARÁGRAFO.</w:t>
      </w:r>
      <w:r>
        <w:rPr>
          <w:rFonts w:ascii="Arial" w:eastAsia="Arial" w:hAnsi="Arial" w:cs="Arial"/>
          <w:sz w:val="20"/>
          <w:szCs w:val="20"/>
        </w:rPr>
        <w:t xml:space="preserve"> La ciudad de Medellín como Distrito Especial de Ciencia, Tecnología e Innovación y las demás ciudades que se organicen como distritos especiales no estarán obligados a efectuar ajustes administrativos que aumenten sus costos. La ley podrá crear mecanismos adicionales a los existentes que fomenten y promocionen desarrollos en ciencia, tecnología e innovación.  </w:t>
      </w:r>
    </w:p>
    <w:p w14:paraId="24DDB733" w14:textId="77777777" w:rsidR="003E41BB" w:rsidRDefault="003E41BB" w:rsidP="003E41BB">
      <w:pPr>
        <w:jc w:val="both"/>
        <w:rPr>
          <w:rFonts w:ascii="Arial" w:eastAsia="Arial" w:hAnsi="Arial" w:cs="Arial"/>
          <w:sz w:val="20"/>
          <w:szCs w:val="20"/>
        </w:rPr>
      </w:pPr>
    </w:p>
    <w:p w14:paraId="68C9DDB7" w14:textId="77777777" w:rsidR="003E41BB" w:rsidRDefault="003E41BB" w:rsidP="003E41BB">
      <w:pPr>
        <w:jc w:val="both"/>
        <w:rPr>
          <w:rFonts w:ascii="Arial" w:eastAsia="Arial" w:hAnsi="Arial" w:cs="Arial"/>
          <w:sz w:val="20"/>
          <w:szCs w:val="20"/>
        </w:rPr>
      </w:pPr>
      <w:r>
        <w:rPr>
          <w:rFonts w:ascii="Arial" w:eastAsia="Arial" w:hAnsi="Arial" w:cs="Arial"/>
          <w:b/>
          <w:sz w:val="20"/>
          <w:szCs w:val="20"/>
        </w:rPr>
        <w:t>PARÁGRAFO TRANSITORIO 1°.</w:t>
      </w:r>
      <w:r>
        <w:rPr>
          <w:rFonts w:ascii="Arial" w:eastAsia="Arial" w:hAnsi="Arial" w:cs="Arial"/>
          <w:sz w:val="20"/>
          <w:szCs w:val="20"/>
        </w:rPr>
        <w:t xml:space="preserve"> El Gobierno deberá presentar el proyecto de ley que regule la organización y el funcionamiento del Sistema General de Participaciones de los Departamentos, Distritos, y Municipios, en un término no mayor a seis (6) meses desde la entrada en vigencia del presente acto legislativo.</w:t>
      </w:r>
    </w:p>
    <w:p w14:paraId="234BAC8B" w14:textId="77777777" w:rsidR="003E41BB" w:rsidRDefault="003E41BB" w:rsidP="003E41BB">
      <w:pPr>
        <w:jc w:val="both"/>
        <w:rPr>
          <w:rFonts w:ascii="Arial" w:eastAsia="Arial" w:hAnsi="Arial" w:cs="Arial"/>
          <w:sz w:val="20"/>
          <w:szCs w:val="20"/>
        </w:rPr>
      </w:pPr>
    </w:p>
    <w:p w14:paraId="29271C07" w14:textId="77777777" w:rsidR="003E41BB" w:rsidRDefault="003E41BB" w:rsidP="003E41BB">
      <w:pPr>
        <w:jc w:val="both"/>
        <w:rPr>
          <w:rFonts w:ascii="Arial" w:eastAsia="Arial" w:hAnsi="Arial" w:cs="Arial"/>
          <w:sz w:val="20"/>
          <w:szCs w:val="20"/>
        </w:rPr>
      </w:pPr>
      <w:r>
        <w:rPr>
          <w:rFonts w:ascii="Arial" w:eastAsia="Arial" w:hAnsi="Arial" w:cs="Arial"/>
          <w:b/>
          <w:sz w:val="20"/>
          <w:szCs w:val="20"/>
        </w:rPr>
        <w:t>PARÁGRAFO TRANSITORIO 2.</w:t>
      </w:r>
      <w:r>
        <w:rPr>
          <w:rFonts w:ascii="Arial" w:eastAsia="Arial" w:hAnsi="Arial" w:cs="Arial"/>
          <w:sz w:val="20"/>
          <w:szCs w:val="20"/>
        </w:rPr>
        <w:t xml:space="preserve"> La ley cumplirá los siguientes objetivos  </w:t>
      </w:r>
    </w:p>
    <w:p w14:paraId="5C6AEF9D" w14:textId="77777777" w:rsidR="003E41BB" w:rsidRDefault="003E41BB" w:rsidP="003E41BB">
      <w:pPr>
        <w:jc w:val="both"/>
        <w:rPr>
          <w:rFonts w:ascii="Arial" w:eastAsia="Arial" w:hAnsi="Arial" w:cs="Arial"/>
          <w:sz w:val="20"/>
          <w:szCs w:val="20"/>
        </w:rPr>
      </w:pPr>
    </w:p>
    <w:p w14:paraId="0D774749" w14:textId="19106C61" w:rsidR="003E41BB" w:rsidRDefault="003E41BB" w:rsidP="003E41BB">
      <w:pPr>
        <w:numPr>
          <w:ilvl w:val="3"/>
          <w:numId w:val="52"/>
        </w:numPr>
        <w:pBdr>
          <w:top w:val="nil"/>
          <w:left w:val="nil"/>
          <w:bottom w:val="nil"/>
          <w:right w:val="nil"/>
          <w:between w:val="nil"/>
        </w:pBdr>
        <w:spacing w:after="0" w:line="240" w:lineRule="auto"/>
        <w:ind w:left="709"/>
        <w:jc w:val="both"/>
        <w:rPr>
          <w:rFonts w:ascii="Arial" w:eastAsia="Arial" w:hAnsi="Arial" w:cs="Arial"/>
          <w:sz w:val="20"/>
          <w:szCs w:val="20"/>
        </w:rPr>
      </w:pPr>
      <w:r>
        <w:rPr>
          <w:rFonts w:ascii="Arial" w:eastAsia="Arial" w:hAnsi="Arial" w:cs="Arial"/>
          <w:color w:val="000000"/>
          <w:sz w:val="20"/>
          <w:szCs w:val="20"/>
        </w:rPr>
        <w:t>Definir la distribución de competencias y recursos e</w:t>
      </w:r>
      <w:r w:rsidR="000B3E82">
        <w:rPr>
          <w:rFonts w:ascii="Arial" w:eastAsia="Arial" w:hAnsi="Arial" w:cs="Arial"/>
          <w:color w:val="000000"/>
          <w:sz w:val="20"/>
          <w:szCs w:val="20"/>
        </w:rPr>
        <w:t xml:space="preserve">ntre el gobierno central y las </w:t>
      </w:r>
      <w:r>
        <w:rPr>
          <w:rFonts w:ascii="Arial" w:eastAsia="Arial" w:hAnsi="Arial" w:cs="Arial"/>
          <w:color w:val="000000"/>
          <w:sz w:val="20"/>
          <w:szCs w:val="20"/>
        </w:rPr>
        <w:t>entidades territoriales con observancia de los principio</w:t>
      </w:r>
      <w:r w:rsidR="000B3E82">
        <w:rPr>
          <w:rFonts w:ascii="Arial" w:eastAsia="Arial" w:hAnsi="Arial" w:cs="Arial"/>
          <w:color w:val="000000"/>
          <w:sz w:val="20"/>
          <w:szCs w:val="20"/>
        </w:rPr>
        <w:t xml:space="preserve">s de coordinación, concurrencia y </w:t>
      </w:r>
      <w:r>
        <w:rPr>
          <w:rFonts w:ascii="Arial" w:eastAsia="Arial" w:hAnsi="Arial" w:cs="Arial"/>
          <w:color w:val="000000"/>
          <w:sz w:val="20"/>
          <w:szCs w:val="20"/>
        </w:rPr>
        <w:t>subsidiariedad. La distribución de recursos se deber</w:t>
      </w:r>
      <w:r w:rsidR="000B3E82">
        <w:rPr>
          <w:rFonts w:ascii="Arial" w:eastAsia="Arial" w:hAnsi="Arial" w:cs="Arial"/>
          <w:color w:val="000000"/>
          <w:sz w:val="20"/>
          <w:szCs w:val="20"/>
        </w:rPr>
        <w:t xml:space="preserve">á hacer teniendo en cuenta las </w:t>
      </w:r>
      <w:r>
        <w:rPr>
          <w:rFonts w:ascii="Arial" w:eastAsia="Arial" w:hAnsi="Arial" w:cs="Arial"/>
          <w:color w:val="000000"/>
          <w:sz w:val="20"/>
          <w:szCs w:val="20"/>
        </w:rPr>
        <w:t>participaciones que en virtud del sistema general de part</w:t>
      </w:r>
      <w:r w:rsidR="000B3E82">
        <w:rPr>
          <w:rFonts w:ascii="Arial" w:eastAsia="Arial" w:hAnsi="Arial" w:cs="Arial"/>
          <w:color w:val="000000"/>
          <w:sz w:val="20"/>
          <w:szCs w:val="20"/>
        </w:rPr>
        <w:t xml:space="preserve">icipaciones corresponden a las </w:t>
      </w:r>
      <w:r>
        <w:rPr>
          <w:rFonts w:ascii="Arial" w:eastAsia="Arial" w:hAnsi="Arial" w:cs="Arial"/>
          <w:color w:val="000000"/>
          <w:sz w:val="20"/>
          <w:szCs w:val="20"/>
        </w:rPr>
        <w:t>entidades territoriales y los ingresos propios que la ley asigne a las entidades territoriales para cumplir las obligaciones originadas en las compet</w:t>
      </w:r>
      <w:r w:rsidR="000B3E82">
        <w:rPr>
          <w:rFonts w:ascii="Arial" w:eastAsia="Arial" w:hAnsi="Arial" w:cs="Arial"/>
          <w:color w:val="000000"/>
          <w:sz w:val="20"/>
          <w:szCs w:val="20"/>
        </w:rPr>
        <w:t xml:space="preserve">encias que asumen en uso de su </w:t>
      </w:r>
      <w:r>
        <w:rPr>
          <w:rFonts w:ascii="Arial" w:eastAsia="Arial" w:hAnsi="Arial" w:cs="Arial"/>
          <w:color w:val="000000"/>
          <w:sz w:val="20"/>
          <w:szCs w:val="20"/>
        </w:rPr>
        <w:t xml:space="preserve">autonomía.  </w:t>
      </w:r>
    </w:p>
    <w:p w14:paraId="33F6688D" w14:textId="77777777" w:rsidR="003E41BB" w:rsidRDefault="003E41BB" w:rsidP="003E41BB">
      <w:pPr>
        <w:pBdr>
          <w:top w:val="nil"/>
          <w:left w:val="nil"/>
          <w:bottom w:val="nil"/>
          <w:right w:val="nil"/>
          <w:between w:val="nil"/>
        </w:pBdr>
        <w:ind w:left="2880"/>
        <w:jc w:val="both"/>
        <w:rPr>
          <w:rFonts w:ascii="Arial" w:eastAsia="Arial" w:hAnsi="Arial" w:cs="Arial"/>
          <w:color w:val="000000"/>
          <w:sz w:val="20"/>
          <w:szCs w:val="20"/>
        </w:rPr>
      </w:pPr>
    </w:p>
    <w:p w14:paraId="0F15C96F" w14:textId="45ED7984" w:rsidR="003E41BB" w:rsidRPr="000B3E82" w:rsidRDefault="003E41BB" w:rsidP="003E41BB">
      <w:pPr>
        <w:numPr>
          <w:ilvl w:val="3"/>
          <w:numId w:val="52"/>
        </w:numPr>
        <w:pBdr>
          <w:top w:val="nil"/>
          <w:left w:val="nil"/>
          <w:bottom w:val="nil"/>
          <w:right w:val="nil"/>
          <w:between w:val="nil"/>
        </w:pBdr>
        <w:spacing w:after="0" w:line="240" w:lineRule="auto"/>
        <w:ind w:left="709"/>
        <w:jc w:val="both"/>
        <w:rPr>
          <w:rFonts w:ascii="Arial" w:eastAsia="Arial" w:hAnsi="Arial" w:cs="Arial"/>
          <w:sz w:val="20"/>
          <w:szCs w:val="20"/>
        </w:rPr>
      </w:pPr>
      <w:r>
        <w:rPr>
          <w:rFonts w:ascii="Arial" w:eastAsia="Arial" w:hAnsi="Arial" w:cs="Arial"/>
          <w:color w:val="000000"/>
          <w:sz w:val="20"/>
          <w:szCs w:val="20"/>
        </w:rPr>
        <w:t>Definir los mecanismos de gradualidad, diferenciaci</w:t>
      </w:r>
      <w:r w:rsidR="000B3E82">
        <w:rPr>
          <w:rFonts w:ascii="Arial" w:eastAsia="Arial" w:hAnsi="Arial" w:cs="Arial"/>
          <w:color w:val="000000"/>
          <w:sz w:val="20"/>
          <w:szCs w:val="20"/>
        </w:rPr>
        <w:t>ón territorial y acompañamiento</w:t>
      </w:r>
      <w:r>
        <w:rPr>
          <w:rFonts w:ascii="Arial" w:eastAsia="Arial" w:hAnsi="Arial" w:cs="Arial"/>
          <w:color w:val="000000"/>
          <w:sz w:val="20"/>
          <w:szCs w:val="20"/>
        </w:rPr>
        <w:t xml:space="preserve"> técnico que operarán en el régimen de transición. La ley podrá aprobar </w:t>
      </w:r>
      <w:r w:rsidR="000B3E82">
        <w:rPr>
          <w:rFonts w:ascii="Arial" w:eastAsia="Arial" w:hAnsi="Arial" w:cs="Arial"/>
          <w:color w:val="000000"/>
          <w:sz w:val="20"/>
          <w:szCs w:val="20"/>
        </w:rPr>
        <w:t xml:space="preserve">un mecanismo </w:t>
      </w:r>
      <w:r>
        <w:rPr>
          <w:rFonts w:ascii="Arial" w:eastAsia="Arial" w:hAnsi="Arial" w:cs="Arial"/>
          <w:color w:val="000000"/>
          <w:sz w:val="20"/>
          <w:szCs w:val="20"/>
        </w:rPr>
        <w:t>de calificación de capacidad institucional y fiscal de las e</w:t>
      </w:r>
      <w:r w:rsidR="000B3E82">
        <w:rPr>
          <w:rFonts w:ascii="Arial" w:eastAsia="Arial" w:hAnsi="Arial" w:cs="Arial"/>
          <w:color w:val="000000"/>
          <w:sz w:val="20"/>
          <w:szCs w:val="20"/>
        </w:rPr>
        <w:t>ntidades territoriales, de modo</w:t>
      </w:r>
      <w:r>
        <w:rPr>
          <w:rFonts w:ascii="Arial" w:eastAsia="Arial" w:hAnsi="Arial" w:cs="Arial"/>
          <w:color w:val="000000"/>
          <w:sz w:val="20"/>
          <w:szCs w:val="20"/>
        </w:rPr>
        <w:t xml:space="preserve"> que las más calificadas puedan asumir nuevas resp</w:t>
      </w:r>
      <w:r w:rsidR="000B3E82">
        <w:rPr>
          <w:rFonts w:ascii="Arial" w:eastAsia="Arial" w:hAnsi="Arial" w:cs="Arial"/>
          <w:color w:val="000000"/>
          <w:sz w:val="20"/>
          <w:szCs w:val="20"/>
        </w:rPr>
        <w:t>onsabilidades, mientras que las</w:t>
      </w:r>
      <w:r>
        <w:rPr>
          <w:rFonts w:ascii="Arial" w:eastAsia="Arial" w:hAnsi="Arial" w:cs="Arial"/>
          <w:color w:val="000000"/>
          <w:sz w:val="20"/>
          <w:szCs w:val="20"/>
        </w:rPr>
        <w:t xml:space="preserve"> menos calificadas tengan un mayor tiempo de adaptación, desarrollo </w:t>
      </w:r>
      <w:r w:rsidR="000B3E82">
        <w:rPr>
          <w:rFonts w:ascii="Arial" w:eastAsia="Arial" w:hAnsi="Arial" w:cs="Arial"/>
          <w:color w:val="000000"/>
          <w:sz w:val="20"/>
          <w:szCs w:val="20"/>
        </w:rPr>
        <w:t xml:space="preserve">institucional y </w:t>
      </w:r>
      <w:r>
        <w:rPr>
          <w:rFonts w:ascii="Arial" w:eastAsia="Arial" w:hAnsi="Arial" w:cs="Arial"/>
          <w:color w:val="000000"/>
          <w:sz w:val="20"/>
          <w:szCs w:val="20"/>
        </w:rPr>
        <w:t>acompañamiento por parte del gobierno nacional. En todo caso, este acompañamiento no podrá menoscabar la autonomía que las entidades territoriales deben gozar desde la entrada en vigencia de este acto legislativo y propenderá por el desarrollo de competencias y capacidades en las entidades territoriales.</w:t>
      </w:r>
    </w:p>
    <w:p w14:paraId="13387D34" w14:textId="4FE1CD58" w:rsidR="000B3E82" w:rsidRDefault="000B3E82" w:rsidP="000B3E82">
      <w:pPr>
        <w:pStyle w:val="Prrafodelista"/>
        <w:rPr>
          <w:rFonts w:ascii="Arial" w:eastAsia="Arial" w:hAnsi="Arial" w:cs="Arial"/>
          <w:sz w:val="20"/>
          <w:szCs w:val="20"/>
        </w:rPr>
      </w:pPr>
    </w:p>
    <w:p w14:paraId="248F81E9" w14:textId="76479310" w:rsidR="000B3E82" w:rsidRDefault="000B3E82" w:rsidP="000B3E82">
      <w:pPr>
        <w:pStyle w:val="Prrafodelista"/>
        <w:jc w:val="both"/>
        <w:rPr>
          <w:rFonts w:ascii="Arial" w:eastAsia="Arial" w:hAnsi="Arial" w:cs="Arial"/>
          <w:sz w:val="20"/>
          <w:szCs w:val="20"/>
        </w:rPr>
      </w:pPr>
      <w:r>
        <w:rPr>
          <w:rFonts w:ascii="Arial" w:eastAsia="Arial" w:hAnsi="Arial" w:cs="Arial"/>
          <w:sz w:val="20"/>
          <w:szCs w:val="20"/>
        </w:rPr>
        <w:t>Garantizando la autonomía de las entidades territoriales, el mecanismo de calificación de la capacidad institucional y fiscal de las entidades territoriales, deberá contemplar un mecanismo por el cual las entidades peor calificadas (en riesgo) tengan un nivel mayor de seguimiento de la gestión de sus recursos.</w:t>
      </w:r>
    </w:p>
    <w:p w14:paraId="32E1B87C" w14:textId="77777777" w:rsidR="000B3E82" w:rsidRDefault="000B3E82" w:rsidP="000B3E82">
      <w:pPr>
        <w:pStyle w:val="Prrafodelista"/>
        <w:jc w:val="both"/>
        <w:rPr>
          <w:rFonts w:ascii="Arial" w:eastAsia="Arial" w:hAnsi="Arial" w:cs="Arial"/>
          <w:sz w:val="20"/>
          <w:szCs w:val="20"/>
        </w:rPr>
      </w:pPr>
    </w:p>
    <w:p w14:paraId="540D780D" w14:textId="7BF98EF6" w:rsidR="000B3E82" w:rsidRDefault="000B3E82" w:rsidP="000B3E82">
      <w:pPr>
        <w:pStyle w:val="Prrafodelista"/>
        <w:jc w:val="both"/>
        <w:rPr>
          <w:rFonts w:ascii="Arial" w:eastAsia="Arial" w:hAnsi="Arial" w:cs="Arial"/>
          <w:sz w:val="20"/>
          <w:szCs w:val="20"/>
        </w:rPr>
      </w:pPr>
      <w:r>
        <w:rPr>
          <w:rFonts w:ascii="Arial" w:eastAsia="Arial" w:hAnsi="Arial" w:cs="Arial"/>
          <w:sz w:val="20"/>
          <w:szCs w:val="20"/>
        </w:rPr>
        <w:t>La ley fijará los mecanismos por los cuales las entidades territoriales deberán reportar su gestión administrativa, contable, financiera y contractual para su seguimiento y calificación, con la finalidad de asegurar la adecuada utilización de los recursos públicos. Así mismo, fijará los estándares del reporte y periodicidad de la información, dependiendo de la calificación obtenida por la entidad territorial.</w:t>
      </w:r>
    </w:p>
    <w:p w14:paraId="51DD637E" w14:textId="77777777" w:rsidR="003E41BB" w:rsidRDefault="003E41BB" w:rsidP="003E41BB">
      <w:pPr>
        <w:pBdr>
          <w:top w:val="nil"/>
          <w:left w:val="nil"/>
          <w:bottom w:val="nil"/>
          <w:right w:val="nil"/>
          <w:between w:val="nil"/>
        </w:pBdr>
        <w:ind w:left="720"/>
        <w:rPr>
          <w:rFonts w:ascii="Arial" w:eastAsia="Arial" w:hAnsi="Arial" w:cs="Arial"/>
          <w:color w:val="000000"/>
          <w:sz w:val="20"/>
          <w:szCs w:val="20"/>
        </w:rPr>
      </w:pPr>
    </w:p>
    <w:p w14:paraId="353EAD25" w14:textId="77777777" w:rsidR="003E41BB" w:rsidRDefault="003E41BB" w:rsidP="003E41BB">
      <w:pPr>
        <w:numPr>
          <w:ilvl w:val="3"/>
          <w:numId w:val="52"/>
        </w:numPr>
        <w:pBdr>
          <w:top w:val="nil"/>
          <w:left w:val="nil"/>
          <w:bottom w:val="nil"/>
          <w:right w:val="nil"/>
          <w:between w:val="nil"/>
        </w:pBdr>
        <w:spacing w:after="0" w:line="240" w:lineRule="auto"/>
        <w:ind w:left="709"/>
        <w:jc w:val="both"/>
        <w:rPr>
          <w:rFonts w:ascii="Arial" w:eastAsia="Arial" w:hAnsi="Arial" w:cs="Arial"/>
          <w:sz w:val="20"/>
          <w:szCs w:val="20"/>
        </w:rPr>
      </w:pPr>
      <w:r>
        <w:rPr>
          <w:rFonts w:ascii="Arial" w:eastAsia="Arial" w:hAnsi="Arial" w:cs="Arial"/>
          <w:color w:val="000000"/>
          <w:sz w:val="20"/>
          <w:szCs w:val="20"/>
        </w:rPr>
        <w:t>Establecer el modelo de Gobierno abierto de las entidades territoriales para asegurar la transparencia en el manejo y gestión de los recursos del Sistema General de Participaciones, el cual deberá garantizar la participación ciudadana, la innovación tecnológica y la rendición de cuentas.</w:t>
      </w:r>
    </w:p>
    <w:p w14:paraId="40852C26" w14:textId="77777777" w:rsidR="003E41BB" w:rsidRDefault="003E41BB" w:rsidP="003E41BB">
      <w:pPr>
        <w:pBdr>
          <w:top w:val="nil"/>
          <w:left w:val="nil"/>
          <w:bottom w:val="nil"/>
          <w:right w:val="nil"/>
          <w:between w:val="nil"/>
        </w:pBdr>
        <w:ind w:left="720"/>
        <w:rPr>
          <w:rFonts w:ascii="Arial" w:eastAsia="Arial" w:hAnsi="Arial" w:cs="Arial"/>
          <w:color w:val="000000"/>
          <w:sz w:val="20"/>
          <w:szCs w:val="20"/>
        </w:rPr>
      </w:pPr>
    </w:p>
    <w:p w14:paraId="4FFB8120" w14:textId="77777777" w:rsidR="003E41BB" w:rsidRDefault="003E41BB" w:rsidP="003E41BB">
      <w:pPr>
        <w:pBdr>
          <w:top w:val="nil"/>
          <w:left w:val="nil"/>
          <w:bottom w:val="nil"/>
          <w:right w:val="nil"/>
          <w:between w:val="nil"/>
        </w:pBdr>
        <w:ind w:left="709"/>
        <w:jc w:val="both"/>
        <w:rPr>
          <w:rFonts w:ascii="Arial" w:eastAsia="Arial" w:hAnsi="Arial" w:cs="Arial"/>
          <w:color w:val="000000"/>
          <w:sz w:val="20"/>
          <w:szCs w:val="20"/>
        </w:rPr>
      </w:pPr>
      <w:r>
        <w:rPr>
          <w:rFonts w:ascii="Arial" w:eastAsia="Arial" w:hAnsi="Arial" w:cs="Arial"/>
          <w:color w:val="000000"/>
          <w:sz w:val="20"/>
          <w:szCs w:val="20"/>
        </w:rPr>
        <w:lastRenderedPageBreak/>
        <w:t>Para dar aplicación y cumplimiento a lo dispuesto en el numeral anterior, el Gobierno Nacional regulará, entre otros aspectos, lo pertinente para definir los eventos en los cuales está en riesgo la prestación adecuada de los servicios a cargo de las entidades territoriales, las medidas que puede adoptar para evitar tal situación y la determinación efectiva de los correctivos necesarios a que haya lugar.</w:t>
      </w:r>
    </w:p>
    <w:p w14:paraId="7E9581DC" w14:textId="77777777" w:rsidR="003E41BB" w:rsidRDefault="003E41BB" w:rsidP="003E41BB">
      <w:pPr>
        <w:pBdr>
          <w:top w:val="nil"/>
          <w:left w:val="nil"/>
          <w:bottom w:val="nil"/>
          <w:right w:val="nil"/>
          <w:between w:val="nil"/>
        </w:pBdr>
        <w:ind w:left="709"/>
        <w:jc w:val="both"/>
        <w:rPr>
          <w:rFonts w:ascii="Arial" w:eastAsia="Arial" w:hAnsi="Arial" w:cs="Arial"/>
          <w:color w:val="000000"/>
          <w:sz w:val="20"/>
          <w:szCs w:val="20"/>
        </w:rPr>
      </w:pPr>
    </w:p>
    <w:p w14:paraId="48A3E1F0" w14:textId="77777777" w:rsidR="003E41BB" w:rsidRDefault="003E41BB" w:rsidP="003E41BB">
      <w:pPr>
        <w:numPr>
          <w:ilvl w:val="3"/>
          <w:numId w:val="52"/>
        </w:numPr>
        <w:pBdr>
          <w:top w:val="nil"/>
          <w:left w:val="nil"/>
          <w:bottom w:val="nil"/>
          <w:right w:val="nil"/>
          <w:between w:val="nil"/>
        </w:pBdr>
        <w:spacing w:after="0" w:line="240" w:lineRule="auto"/>
        <w:ind w:left="567"/>
        <w:jc w:val="both"/>
        <w:rPr>
          <w:rFonts w:ascii="Arial" w:eastAsia="Arial" w:hAnsi="Arial" w:cs="Arial"/>
          <w:sz w:val="20"/>
          <w:szCs w:val="20"/>
        </w:rPr>
      </w:pPr>
      <w:r>
        <w:rPr>
          <w:rFonts w:ascii="Arial" w:eastAsia="Arial" w:hAnsi="Arial" w:cs="Arial"/>
          <w:color w:val="000000"/>
          <w:sz w:val="20"/>
          <w:szCs w:val="20"/>
        </w:rPr>
        <w:t>Definir los mecanismos idóneos de control del gasto financiado con recursos del sistema general de participaciones, los cuales no podrán ser del mismo nivel de los departamentos, distritos y municipios. La ley definirá la naturaleza de estos mecanismos de control. De igual manera, definirá el régimen sancionatorio adecuado.</w:t>
      </w:r>
    </w:p>
    <w:p w14:paraId="521F8855" w14:textId="77777777" w:rsidR="003E41BB" w:rsidRDefault="003E41BB" w:rsidP="003E41BB">
      <w:pPr>
        <w:jc w:val="both"/>
        <w:rPr>
          <w:rFonts w:ascii="Arial" w:eastAsia="Arial" w:hAnsi="Arial" w:cs="Arial"/>
          <w:sz w:val="20"/>
          <w:szCs w:val="20"/>
        </w:rPr>
      </w:pPr>
      <w:r>
        <w:rPr>
          <w:rFonts w:ascii="Arial" w:eastAsia="Arial" w:hAnsi="Arial" w:cs="Arial"/>
          <w:sz w:val="20"/>
          <w:szCs w:val="20"/>
        </w:rPr>
        <w:t xml:space="preserve"> </w:t>
      </w:r>
    </w:p>
    <w:p w14:paraId="1EBDFE0C" w14:textId="77777777" w:rsidR="003E41BB" w:rsidRDefault="003E41BB" w:rsidP="003E41BB">
      <w:pPr>
        <w:jc w:val="both"/>
        <w:rPr>
          <w:rFonts w:ascii="Arial" w:eastAsia="Arial" w:hAnsi="Arial" w:cs="Arial"/>
          <w:sz w:val="20"/>
          <w:szCs w:val="20"/>
        </w:rPr>
      </w:pPr>
      <w:r>
        <w:rPr>
          <w:rFonts w:ascii="Arial" w:eastAsia="Arial" w:hAnsi="Arial" w:cs="Arial"/>
          <w:sz w:val="20"/>
          <w:szCs w:val="20"/>
        </w:rPr>
        <w:t>El Gobierno Nacional definirá una estrategia de monitoreo, seguimiento y control integral al gasto ejecutado por las entidades territoriales con recursos del Sistema General de Participaciones, para asegurar el cumplimiento de las metas de cobertura y calidad. Esta estrategia deberá fortalecer los espacios para la participación ciudadana en el control social y en los procesos de rendición de cuentas.</w:t>
      </w:r>
    </w:p>
    <w:p w14:paraId="79C7CBAD" w14:textId="77777777" w:rsidR="003E41BB" w:rsidRDefault="003E41BB" w:rsidP="003E41BB">
      <w:pPr>
        <w:jc w:val="both"/>
        <w:rPr>
          <w:rFonts w:ascii="Arial" w:eastAsia="Arial" w:hAnsi="Arial" w:cs="Arial"/>
          <w:sz w:val="20"/>
          <w:szCs w:val="20"/>
        </w:rPr>
      </w:pPr>
    </w:p>
    <w:p w14:paraId="00DDAA55" w14:textId="6E0AD24D" w:rsidR="003E41BB" w:rsidRDefault="000B3E82" w:rsidP="003E41BB">
      <w:pPr>
        <w:jc w:val="both"/>
        <w:rPr>
          <w:rFonts w:ascii="Arial" w:eastAsia="Arial" w:hAnsi="Arial" w:cs="Arial"/>
          <w:sz w:val="20"/>
          <w:szCs w:val="20"/>
        </w:rPr>
      </w:pPr>
      <w:r>
        <w:rPr>
          <w:rFonts w:ascii="Arial" w:eastAsia="Arial" w:hAnsi="Arial" w:cs="Arial"/>
          <w:b/>
          <w:sz w:val="20"/>
          <w:szCs w:val="20"/>
        </w:rPr>
        <w:t>ARTÍCULO 2</w:t>
      </w:r>
      <w:r w:rsidR="003E41BB">
        <w:rPr>
          <w:rFonts w:ascii="Arial" w:eastAsia="Arial" w:hAnsi="Arial" w:cs="Arial"/>
          <w:b/>
          <w:sz w:val="20"/>
          <w:szCs w:val="20"/>
        </w:rPr>
        <w:t>.</w:t>
      </w:r>
      <w:r w:rsidR="003E41BB">
        <w:rPr>
          <w:rFonts w:ascii="Arial" w:eastAsia="Arial" w:hAnsi="Arial" w:cs="Arial"/>
          <w:sz w:val="20"/>
          <w:szCs w:val="20"/>
        </w:rPr>
        <w:t xml:space="preserve"> Modifíquese el artículo 357 de la Constitución Política, el cual quedará así:</w:t>
      </w:r>
    </w:p>
    <w:p w14:paraId="52DC235E" w14:textId="77777777" w:rsidR="003E41BB" w:rsidRDefault="003E41BB" w:rsidP="003E41BB">
      <w:pPr>
        <w:jc w:val="both"/>
        <w:rPr>
          <w:rFonts w:ascii="Arial" w:eastAsia="Arial" w:hAnsi="Arial" w:cs="Arial"/>
          <w:sz w:val="20"/>
          <w:szCs w:val="20"/>
        </w:rPr>
      </w:pPr>
    </w:p>
    <w:p w14:paraId="6245B898" w14:textId="77777777" w:rsidR="003E41BB" w:rsidRDefault="003E41BB" w:rsidP="003E41BB">
      <w:pPr>
        <w:jc w:val="both"/>
        <w:rPr>
          <w:rFonts w:ascii="Arial" w:eastAsia="Arial" w:hAnsi="Arial" w:cs="Arial"/>
          <w:sz w:val="20"/>
          <w:szCs w:val="20"/>
        </w:rPr>
      </w:pPr>
      <w:r>
        <w:rPr>
          <w:rFonts w:ascii="Arial" w:eastAsia="Arial" w:hAnsi="Arial" w:cs="Arial"/>
          <w:sz w:val="20"/>
          <w:szCs w:val="20"/>
        </w:rPr>
        <w:t>ARTÍCULO 357. EI Sistema General de Participaciones de los Departamentos, Distritos y Municipios crecerá como porcentaje de los ingresos corrientes de la Nación hasta llegar a ser como mínimo el 46,5 por ciento de estos a partir del año 2034.</w:t>
      </w:r>
    </w:p>
    <w:p w14:paraId="27C796A8" w14:textId="77777777" w:rsidR="003E41BB" w:rsidRDefault="003E41BB" w:rsidP="003E41BB">
      <w:pPr>
        <w:jc w:val="both"/>
        <w:rPr>
          <w:rFonts w:ascii="Arial" w:eastAsia="Arial" w:hAnsi="Arial" w:cs="Arial"/>
          <w:sz w:val="20"/>
          <w:szCs w:val="20"/>
        </w:rPr>
      </w:pPr>
    </w:p>
    <w:p w14:paraId="2EEB730A" w14:textId="77777777" w:rsidR="003E41BB" w:rsidRDefault="003E41BB" w:rsidP="003E41BB">
      <w:pPr>
        <w:jc w:val="both"/>
        <w:rPr>
          <w:rFonts w:ascii="Arial" w:eastAsia="Arial" w:hAnsi="Arial" w:cs="Arial"/>
          <w:sz w:val="20"/>
          <w:szCs w:val="20"/>
        </w:rPr>
      </w:pPr>
      <w:r>
        <w:rPr>
          <w:rFonts w:ascii="Arial" w:eastAsia="Arial" w:hAnsi="Arial" w:cs="Arial"/>
          <w:sz w:val="20"/>
          <w:szCs w:val="20"/>
        </w:rPr>
        <w:t xml:space="preserve">Para efectos del cálculo de la variación de los ingresos corrientes de la Nación a que se refiere el inciso anterior, estarán excluidos los tributos que se arbitren por medidas de estado de excepción salvo que el Congreso, durante el año siguiente, les otorgue el carácter permanente. </w:t>
      </w:r>
    </w:p>
    <w:p w14:paraId="19A90F77" w14:textId="77777777" w:rsidR="003E41BB" w:rsidRDefault="003E41BB" w:rsidP="003E41BB">
      <w:pPr>
        <w:jc w:val="both"/>
        <w:rPr>
          <w:rFonts w:ascii="Arial" w:eastAsia="Arial" w:hAnsi="Arial" w:cs="Arial"/>
          <w:sz w:val="20"/>
          <w:szCs w:val="20"/>
        </w:rPr>
      </w:pPr>
    </w:p>
    <w:p w14:paraId="05C310FD" w14:textId="77777777" w:rsidR="003E41BB" w:rsidRDefault="003E41BB" w:rsidP="003E41BB">
      <w:pPr>
        <w:jc w:val="both"/>
        <w:rPr>
          <w:rFonts w:ascii="Arial" w:eastAsia="Arial" w:hAnsi="Arial" w:cs="Arial"/>
          <w:sz w:val="20"/>
          <w:szCs w:val="20"/>
        </w:rPr>
      </w:pPr>
      <w:r>
        <w:rPr>
          <w:rFonts w:ascii="Arial" w:eastAsia="Arial" w:hAnsi="Arial" w:cs="Arial"/>
          <w:sz w:val="20"/>
          <w:szCs w:val="20"/>
        </w:rPr>
        <w:t xml:space="preserve">El diecisiete por ciento (17%) de los recursos de Propósito General del Sistema General de Participaciones, será distribuido entre los municipios con población inferior a 25.000 habitantes Estos recursos se destinarán exclusivamente para inversión, conforme a las competencias asignadas por la ley. Estos recursos se distribuirán con base en los mismos criterios de población y pobreza definidos por la ley para la Participación de Propósito General. </w:t>
      </w:r>
    </w:p>
    <w:p w14:paraId="276F7BB3" w14:textId="77777777" w:rsidR="003E41BB" w:rsidRDefault="003E41BB" w:rsidP="003E41BB">
      <w:pPr>
        <w:jc w:val="both"/>
        <w:rPr>
          <w:rFonts w:ascii="Arial" w:eastAsia="Arial" w:hAnsi="Arial" w:cs="Arial"/>
          <w:sz w:val="20"/>
          <w:szCs w:val="20"/>
        </w:rPr>
      </w:pPr>
    </w:p>
    <w:p w14:paraId="7AE947EF" w14:textId="211562DD" w:rsidR="003E41BB" w:rsidRDefault="003E41BB" w:rsidP="003E41BB">
      <w:pPr>
        <w:jc w:val="both"/>
        <w:rPr>
          <w:rFonts w:ascii="Arial" w:eastAsia="Arial" w:hAnsi="Arial" w:cs="Arial"/>
          <w:sz w:val="20"/>
          <w:szCs w:val="20"/>
        </w:rPr>
      </w:pPr>
      <w:r>
        <w:rPr>
          <w:rFonts w:ascii="Arial" w:eastAsia="Arial" w:hAnsi="Arial" w:cs="Arial"/>
          <w:sz w:val="20"/>
          <w:szCs w:val="20"/>
        </w:rPr>
        <w:t>Los municipios clasificados en las categorías cuarta, quinta y sexta,</w:t>
      </w:r>
      <w:r w:rsidR="000B3E82">
        <w:rPr>
          <w:rFonts w:ascii="Arial" w:eastAsia="Arial" w:hAnsi="Arial" w:cs="Arial"/>
          <w:sz w:val="20"/>
          <w:szCs w:val="20"/>
        </w:rPr>
        <w:t xml:space="preserve"> de conformidad con las normas </w:t>
      </w:r>
      <w:r>
        <w:rPr>
          <w:rFonts w:ascii="Arial" w:eastAsia="Arial" w:hAnsi="Arial" w:cs="Arial"/>
          <w:sz w:val="20"/>
          <w:szCs w:val="20"/>
        </w:rPr>
        <w:t>vigentes, podrán destinar libremente, para inversión y otros gastos i</w:t>
      </w:r>
      <w:r w:rsidR="000B3E82">
        <w:rPr>
          <w:rFonts w:ascii="Arial" w:eastAsia="Arial" w:hAnsi="Arial" w:cs="Arial"/>
          <w:sz w:val="20"/>
          <w:szCs w:val="20"/>
        </w:rPr>
        <w:t xml:space="preserve">nherentes al funcionamiento de </w:t>
      </w:r>
      <w:r>
        <w:rPr>
          <w:rFonts w:ascii="Arial" w:eastAsia="Arial" w:hAnsi="Arial" w:cs="Arial"/>
          <w:sz w:val="20"/>
          <w:szCs w:val="20"/>
        </w:rPr>
        <w:t>la administración municipal, hasta un cuarenta y dos (42%) de</w:t>
      </w:r>
      <w:r w:rsidR="000B3E82">
        <w:rPr>
          <w:rFonts w:ascii="Arial" w:eastAsia="Arial" w:hAnsi="Arial" w:cs="Arial"/>
          <w:sz w:val="20"/>
          <w:szCs w:val="20"/>
        </w:rPr>
        <w:t xml:space="preserve"> los recursos que perciban por </w:t>
      </w:r>
      <w:r>
        <w:rPr>
          <w:rFonts w:ascii="Arial" w:eastAsia="Arial" w:hAnsi="Arial" w:cs="Arial"/>
          <w:sz w:val="20"/>
          <w:szCs w:val="20"/>
        </w:rPr>
        <w:t>concepto del Sistema General de Participaciones de Propósito General</w:t>
      </w:r>
      <w:r w:rsidR="000B3E82">
        <w:rPr>
          <w:rFonts w:ascii="Arial" w:eastAsia="Arial" w:hAnsi="Arial" w:cs="Arial"/>
          <w:sz w:val="20"/>
          <w:szCs w:val="20"/>
        </w:rPr>
        <w:t xml:space="preserve">, exceptuando los recursos que </w:t>
      </w:r>
      <w:r>
        <w:rPr>
          <w:rFonts w:ascii="Arial" w:eastAsia="Arial" w:hAnsi="Arial" w:cs="Arial"/>
          <w:sz w:val="20"/>
          <w:szCs w:val="20"/>
        </w:rPr>
        <w:t xml:space="preserve">se distribuyan de acuerdo con el inciso anterior. </w:t>
      </w:r>
    </w:p>
    <w:p w14:paraId="627987B8" w14:textId="77777777" w:rsidR="003E41BB" w:rsidRDefault="003E41BB" w:rsidP="003E41BB">
      <w:pPr>
        <w:jc w:val="both"/>
        <w:rPr>
          <w:rFonts w:ascii="Arial" w:eastAsia="Arial" w:hAnsi="Arial" w:cs="Arial"/>
          <w:sz w:val="20"/>
          <w:szCs w:val="20"/>
        </w:rPr>
      </w:pPr>
      <w:r>
        <w:rPr>
          <w:rFonts w:ascii="Arial" w:eastAsia="Arial" w:hAnsi="Arial" w:cs="Arial"/>
          <w:sz w:val="20"/>
          <w:szCs w:val="20"/>
        </w:rPr>
        <w:t xml:space="preserve"> </w:t>
      </w:r>
    </w:p>
    <w:p w14:paraId="6B588D43" w14:textId="45EC569F" w:rsidR="003E41BB" w:rsidRDefault="003E41BB" w:rsidP="003E41BB">
      <w:pPr>
        <w:jc w:val="both"/>
        <w:rPr>
          <w:rFonts w:ascii="Arial" w:eastAsia="Arial" w:hAnsi="Arial" w:cs="Arial"/>
          <w:sz w:val="20"/>
          <w:szCs w:val="20"/>
        </w:rPr>
      </w:pPr>
      <w:r>
        <w:rPr>
          <w:rFonts w:ascii="Arial" w:eastAsia="Arial" w:hAnsi="Arial" w:cs="Arial"/>
          <w:sz w:val="20"/>
          <w:szCs w:val="20"/>
        </w:rPr>
        <w:t xml:space="preserve">Cuando una entidad territorial alcance coberturas universales </w:t>
      </w:r>
      <w:r w:rsidR="000B3E82">
        <w:rPr>
          <w:rFonts w:ascii="Arial" w:eastAsia="Arial" w:hAnsi="Arial" w:cs="Arial"/>
          <w:sz w:val="20"/>
          <w:szCs w:val="20"/>
        </w:rPr>
        <w:t xml:space="preserve">y cumpla con los estándares de </w:t>
      </w:r>
      <w:r>
        <w:rPr>
          <w:rFonts w:ascii="Arial" w:eastAsia="Arial" w:hAnsi="Arial" w:cs="Arial"/>
          <w:sz w:val="20"/>
          <w:szCs w:val="20"/>
        </w:rPr>
        <w:t>calidad establecidos por las autoridades competentes, en los se</w:t>
      </w:r>
      <w:r w:rsidR="000B3E82">
        <w:rPr>
          <w:rFonts w:ascii="Arial" w:eastAsia="Arial" w:hAnsi="Arial" w:cs="Arial"/>
          <w:sz w:val="20"/>
          <w:szCs w:val="20"/>
        </w:rPr>
        <w:t xml:space="preserve">ctores de educación, salud y/o </w:t>
      </w:r>
      <w:r>
        <w:rPr>
          <w:rFonts w:ascii="Arial" w:eastAsia="Arial" w:hAnsi="Arial" w:cs="Arial"/>
          <w:sz w:val="20"/>
          <w:szCs w:val="20"/>
        </w:rPr>
        <w:t>servicios públicos domiciliarios de agua potable y saneamiento bási</w:t>
      </w:r>
      <w:r w:rsidR="000B3E82">
        <w:rPr>
          <w:rFonts w:ascii="Arial" w:eastAsia="Arial" w:hAnsi="Arial" w:cs="Arial"/>
          <w:sz w:val="20"/>
          <w:szCs w:val="20"/>
        </w:rPr>
        <w:t>co, previa certificación de la</w:t>
      </w:r>
      <w:r>
        <w:rPr>
          <w:rFonts w:ascii="Arial" w:eastAsia="Arial" w:hAnsi="Arial" w:cs="Arial"/>
          <w:sz w:val="20"/>
          <w:szCs w:val="20"/>
        </w:rPr>
        <w:t xml:space="preserve"> entidad </w:t>
      </w:r>
      <w:r>
        <w:rPr>
          <w:rFonts w:ascii="Arial" w:eastAsia="Arial" w:hAnsi="Arial" w:cs="Arial"/>
          <w:sz w:val="20"/>
          <w:szCs w:val="20"/>
        </w:rPr>
        <w:lastRenderedPageBreak/>
        <w:t>nacional competente, podrá destinar los recursos excedente</w:t>
      </w:r>
      <w:r w:rsidR="000B3E82">
        <w:rPr>
          <w:rFonts w:ascii="Arial" w:eastAsia="Arial" w:hAnsi="Arial" w:cs="Arial"/>
          <w:sz w:val="20"/>
          <w:szCs w:val="20"/>
        </w:rPr>
        <w:t>s a inversión en otros sectores</w:t>
      </w:r>
      <w:r>
        <w:rPr>
          <w:rFonts w:ascii="Arial" w:eastAsia="Arial" w:hAnsi="Arial" w:cs="Arial"/>
          <w:sz w:val="20"/>
          <w:szCs w:val="20"/>
        </w:rPr>
        <w:t xml:space="preserve"> de su competencia. El Gobierno Nacional reglamentará la materia.  </w:t>
      </w:r>
    </w:p>
    <w:p w14:paraId="3F302100" w14:textId="77777777" w:rsidR="003E41BB" w:rsidRDefault="003E41BB" w:rsidP="003E41BB">
      <w:pPr>
        <w:jc w:val="both"/>
        <w:rPr>
          <w:rFonts w:ascii="Arial" w:eastAsia="Arial" w:hAnsi="Arial" w:cs="Arial"/>
          <w:sz w:val="20"/>
          <w:szCs w:val="20"/>
        </w:rPr>
      </w:pPr>
    </w:p>
    <w:p w14:paraId="346ED8F0" w14:textId="77777777" w:rsidR="003E41BB" w:rsidRDefault="003E41BB" w:rsidP="003E41BB">
      <w:pPr>
        <w:jc w:val="both"/>
        <w:rPr>
          <w:rFonts w:ascii="Arial" w:eastAsia="Arial" w:hAnsi="Arial" w:cs="Arial"/>
          <w:sz w:val="20"/>
          <w:szCs w:val="20"/>
        </w:rPr>
      </w:pPr>
      <w:r>
        <w:rPr>
          <w:rFonts w:ascii="Arial" w:eastAsia="Arial" w:hAnsi="Arial" w:cs="Arial"/>
          <w:b/>
          <w:sz w:val="20"/>
          <w:szCs w:val="20"/>
        </w:rPr>
        <w:t>PARÁGRAFO TRANSITORIO 1</w:t>
      </w:r>
      <w:r>
        <w:rPr>
          <w:rFonts w:ascii="Arial" w:eastAsia="Arial" w:hAnsi="Arial" w:cs="Arial"/>
          <w:sz w:val="20"/>
          <w:szCs w:val="20"/>
        </w:rPr>
        <w:t xml:space="preserve">. El Gobierno Nacional definirá unos criterios y transiciones en la aplicación de los resultados del último censo realizado, con el propósito de evitar los efectos negativos derivados de las variaciones de los datos censales en la distribución del Sistema General de Participaciones. El Sistema orientará los recursos necesarios para </w:t>
      </w:r>
      <w:proofErr w:type="gramStart"/>
      <w:r>
        <w:rPr>
          <w:rFonts w:ascii="Arial" w:eastAsia="Arial" w:hAnsi="Arial" w:cs="Arial"/>
          <w:sz w:val="20"/>
          <w:szCs w:val="20"/>
        </w:rPr>
        <w:t>que</w:t>
      </w:r>
      <w:proofErr w:type="gramEnd"/>
      <w:r>
        <w:rPr>
          <w:rFonts w:ascii="Arial" w:eastAsia="Arial" w:hAnsi="Arial" w:cs="Arial"/>
          <w:sz w:val="20"/>
          <w:szCs w:val="20"/>
        </w:rPr>
        <w:t xml:space="preserve"> de ninguna manera, se disminuyan, por razón de la población, los recursos que reciben las entidades territoriales actualmente.  </w:t>
      </w:r>
    </w:p>
    <w:p w14:paraId="1B854429" w14:textId="77777777" w:rsidR="003E41BB" w:rsidRDefault="003E41BB" w:rsidP="003E41BB">
      <w:pPr>
        <w:jc w:val="both"/>
        <w:rPr>
          <w:rFonts w:ascii="Arial" w:eastAsia="Arial" w:hAnsi="Arial" w:cs="Arial"/>
          <w:sz w:val="20"/>
          <w:szCs w:val="20"/>
        </w:rPr>
      </w:pPr>
    </w:p>
    <w:p w14:paraId="62948B9F" w14:textId="52D139FF" w:rsidR="003E41BB" w:rsidRDefault="003E41BB" w:rsidP="003E41BB">
      <w:pPr>
        <w:jc w:val="both"/>
        <w:rPr>
          <w:rFonts w:ascii="Arial" w:eastAsia="Arial" w:hAnsi="Arial" w:cs="Arial"/>
          <w:sz w:val="20"/>
          <w:szCs w:val="20"/>
        </w:rPr>
      </w:pPr>
      <w:r>
        <w:rPr>
          <w:rFonts w:ascii="Arial" w:eastAsia="Arial" w:hAnsi="Arial" w:cs="Arial"/>
          <w:b/>
          <w:sz w:val="20"/>
          <w:szCs w:val="20"/>
        </w:rPr>
        <w:t>PARÁGRAFO TRANSITORIO 2.</w:t>
      </w:r>
      <w:r>
        <w:rPr>
          <w:rFonts w:ascii="Arial" w:eastAsia="Arial" w:hAnsi="Arial" w:cs="Arial"/>
          <w:sz w:val="20"/>
          <w:szCs w:val="20"/>
        </w:rPr>
        <w:t xml:space="preserve"> Para efectos del cumplimiento de este artículo, se establece un periodo de transición hasta el año 2034, durante el cual el Sistema General de Participaciones, como mínimo, será el 24,65% de los ingresos corrientes de la nación en 2025; el 27,08% en 2026; el 29,51% en 2027; 31,94% en 2028; 34,37% en 2029; 36,80% en 2030; el 39,2</w:t>
      </w:r>
      <w:r w:rsidR="00944774">
        <w:rPr>
          <w:rFonts w:ascii="Arial" w:eastAsia="Arial" w:hAnsi="Arial" w:cs="Arial"/>
          <w:sz w:val="20"/>
          <w:szCs w:val="20"/>
        </w:rPr>
        <w:t xml:space="preserve">3% en 2031; el 41,66% en 2032; </w:t>
      </w:r>
      <w:r>
        <w:rPr>
          <w:rFonts w:ascii="Arial" w:eastAsia="Arial" w:hAnsi="Arial" w:cs="Arial"/>
          <w:sz w:val="20"/>
          <w:szCs w:val="20"/>
        </w:rPr>
        <w:t xml:space="preserve">el 44,09% en 2033; y el 46,52% en 2034  </w:t>
      </w:r>
    </w:p>
    <w:p w14:paraId="77BD2B79" w14:textId="77777777" w:rsidR="003E41BB" w:rsidRDefault="003E41BB" w:rsidP="003E41BB">
      <w:pPr>
        <w:jc w:val="both"/>
        <w:rPr>
          <w:rFonts w:ascii="Arial" w:eastAsia="Arial" w:hAnsi="Arial" w:cs="Arial"/>
          <w:sz w:val="20"/>
          <w:szCs w:val="20"/>
        </w:rPr>
      </w:pPr>
    </w:p>
    <w:p w14:paraId="2F39C38F" w14:textId="4D0575D6" w:rsidR="003E41BB" w:rsidRDefault="00944774" w:rsidP="003E41BB">
      <w:pPr>
        <w:jc w:val="both"/>
        <w:rPr>
          <w:rFonts w:ascii="Arial" w:eastAsia="Arial" w:hAnsi="Arial" w:cs="Arial"/>
          <w:sz w:val="20"/>
          <w:szCs w:val="20"/>
        </w:rPr>
      </w:pPr>
      <w:r w:rsidRPr="00F66613">
        <w:rPr>
          <w:rFonts w:ascii="Arial" w:eastAsia="Arial" w:hAnsi="Arial" w:cs="Arial"/>
          <w:b/>
          <w:sz w:val="20"/>
          <w:szCs w:val="20"/>
        </w:rPr>
        <w:t>ARTÍCULO 3</w:t>
      </w:r>
      <w:r w:rsidR="003E41BB" w:rsidRPr="00F66613">
        <w:rPr>
          <w:rFonts w:ascii="Arial" w:eastAsia="Arial" w:hAnsi="Arial" w:cs="Arial"/>
          <w:b/>
          <w:sz w:val="20"/>
          <w:szCs w:val="20"/>
        </w:rPr>
        <w:t>. VIGENCIA.</w:t>
      </w:r>
      <w:r w:rsidR="003E41BB">
        <w:rPr>
          <w:rFonts w:ascii="Arial" w:eastAsia="Arial" w:hAnsi="Arial" w:cs="Arial"/>
          <w:sz w:val="20"/>
          <w:szCs w:val="20"/>
        </w:rPr>
        <w:t xml:space="preserve"> Este acto legislativo rige a partir de su promulgación.  </w:t>
      </w:r>
    </w:p>
    <w:p w14:paraId="56100F80" w14:textId="77777777" w:rsidR="003E41BB" w:rsidRDefault="003E41BB" w:rsidP="003E41BB">
      <w:pPr>
        <w:jc w:val="both"/>
        <w:rPr>
          <w:rFonts w:ascii="Arial" w:eastAsia="Arial" w:hAnsi="Arial" w:cs="Arial"/>
          <w:sz w:val="20"/>
          <w:szCs w:val="20"/>
        </w:rPr>
      </w:pPr>
    </w:p>
    <w:p w14:paraId="5AF0E3E2" w14:textId="77777777" w:rsidR="003B090C" w:rsidRPr="00261D0E" w:rsidRDefault="003B090C" w:rsidP="003B090C">
      <w:pPr>
        <w:jc w:val="both"/>
        <w:rPr>
          <w:rFonts w:ascii="Arial" w:hAnsi="Arial" w:cs="Arial"/>
          <w:color w:val="000000"/>
        </w:rPr>
      </w:pPr>
    </w:p>
    <w:p w14:paraId="1D142CCE" w14:textId="546385BF" w:rsidR="002736AC" w:rsidRPr="002736AC" w:rsidRDefault="002736AC" w:rsidP="002736AC">
      <w:pPr>
        <w:jc w:val="both"/>
        <w:rPr>
          <w:rFonts w:ascii="Arial" w:hAnsi="Arial" w:cs="Arial"/>
          <w:lang w:val="es-ES" w:eastAsia="es-ES"/>
        </w:rPr>
      </w:pPr>
      <w:r w:rsidRPr="002736AC">
        <w:rPr>
          <w:rFonts w:ascii="Arial" w:hAnsi="Arial" w:cs="Arial"/>
        </w:rPr>
        <w:t>En</w:t>
      </w:r>
      <w:r w:rsidRPr="002736AC">
        <w:rPr>
          <w:rFonts w:ascii="Arial" w:hAnsi="Arial" w:cs="Arial"/>
          <w:lang w:val="es-ES" w:eastAsia="es-ES"/>
        </w:rPr>
        <w:t xml:space="preserve"> los ant</w:t>
      </w:r>
      <w:r w:rsidR="005C018D">
        <w:rPr>
          <w:rFonts w:ascii="Arial" w:hAnsi="Arial" w:cs="Arial"/>
          <w:lang w:val="es-ES" w:eastAsia="es-ES"/>
        </w:rPr>
        <w:t xml:space="preserve">eriores términos fue aprobado </w:t>
      </w:r>
      <w:r w:rsidR="00AB7970">
        <w:rPr>
          <w:rFonts w:ascii="Arial" w:hAnsi="Arial" w:cs="Arial"/>
          <w:lang w:val="es-ES" w:eastAsia="es-ES"/>
        </w:rPr>
        <w:t>co</w:t>
      </w:r>
      <w:r w:rsidRPr="002736AC">
        <w:rPr>
          <w:rFonts w:ascii="Arial" w:hAnsi="Arial" w:cs="Arial"/>
          <w:lang w:val="es-ES" w:eastAsia="es-ES"/>
        </w:rPr>
        <w:t xml:space="preserve">n modificaciones el presente Proyecto de </w:t>
      </w:r>
      <w:r w:rsidR="005C018D">
        <w:rPr>
          <w:rFonts w:ascii="Arial" w:hAnsi="Arial" w:cs="Arial"/>
          <w:lang w:val="es-ES" w:eastAsia="es-ES"/>
        </w:rPr>
        <w:t>Acto Legislativo</w:t>
      </w:r>
      <w:r w:rsidRPr="002736AC">
        <w:rPr>
          <w:rFonts w:ascii="Arial" w:hAnsi="Arial" w:cs="Arial"/>
          <w:lang w:val="es-ES" w:eastAsia="es-ES"/>
        </w:rPr>
        <w:t xml:space="preserve"> según consta en</w:t>
      </w:r>
      <w:r w:rsidR="002157E7">
        <w:rPr>
          <w:rFonts w:ascii="Arial" w:hAnsi="Arial" w:cs="Arial"/>
          <w:lang w:val="es-ES" w:eastAsia="es-ES"/>
        </w:rPr>
        <w:t xml:space="preserve"> las </w:t>
      </w:r>
      <w:r w:rsidRPr="002736AC">
        <w:rPr>
          <w:rFonts w:ascii="Arial" w:hAnsi="Arial" w:cs="Arial"/>
          <w:lang w:val="es-ES" w:eastAsia="es-ES"/>
        </w:rPr>
        <w:t>Acta</w:t>
      </w:r>
      <w:r w:rsidR="002157E7">
        <w:rPr>
          <w:rFonts w:ascii="Arial" w:hAnsi="Arial" w:cs="Arial"/>
          <w:lang w:val="es-ES" w:eastAsia="es-ES"/>
        </w:rPr>
        <w:t>s</w:t>
      </w:r>
      <w:r w:rsidRPr="002736AC">
        <w:rPr>
          <w:rFonts w:ascii="Arial" w:hAnsi="Arial" w:cs="Arial"/>
          <w:lang w:val="es-ES" w:eastAsia="es-ES"/>
        </w:rPr>
        <w:t xml:space="preserve"> No. </w:t>
      </w:r>
      <w:r w:rsidR="002157E7">
        <w:rPr>
          <w:rFonts w:ascii="Arial" w:hAnsi="Arial" w:cs="Arial"/>
          <w:lang w:val="es-ES" w:eastAsia="es-ES"/>
        </w:rPr>
        <w:t xml:space="preserve">52 y </w:t>
      </w:r>
      <w:r w:rsidR="00F66613">
        <w:rPr>
          <w:rFonts w:ascii="Arial" w:hAnsi="Arial" w:cs="Arial"/>
          <w:lang w:val="es-ES" w:eastAsia="es-ES"/>
        </w:rPr>
        <w:t>53</w:t>
      </w:r>
      <w:r w:rsidRPr="002736AC">
        <w:rPr>
          <w:rFonts w:ascii="Arial" w:hAnsi="Arial" w:cs="Arial"/>
          <w:lang w:val="es-ES" w:eastAsia="es-ES"/>
        </w:rPr>
        <w:t xml:space="preserve"> de Sesi</w:t>
      </w:r>
      <w:r w:rsidR="00A80587">
        <w:rPr>
          <w:rFonts w:ascii="Arial" w:hAnsi="Arial" w:cs="Arial"/>
          <w:lang w:val="es-ES" w:eastAsia="es-ES"/>
        </w:rPr>
        <w:t xml:space="preserve">ones </w:t>
      </w:r>
      <w:r w:rsidRPr="002736AC">
        <w:rPr>
          <w:rFonts w:ascii="Arial" w:hAnsi="Arial" w:cs="Arial"/>
          <w:lang w:val="es-ES" w:eastAsia="es-ES"/>
        </w:rPr>
        <w:t xml:space="preserve">de </w:t>
      </w:r>
      <w:r w:rsidR="00F66613">
        <w:rPr>
          <w:rFonts w:ascii="Arial" w:hAnsi="Arial" w:cs="Arial"/>
          <w:lang w:val="es-ES" w:eastAsia="es-ES"/>
        </w:rPr>
        <w:t xml:space="preserve">Mayo </w:t>
      </w:r>
      <w:r w:rsidR="002157E7">
        <w:rPr>
          <w:rFonts w:ascii="Arial" w:hAnsi="Arial" w:cs="Arial"/>
          <w:lang w:val="es-ES" w:eastAsia="es-ES"/>
        </w:rPr>
        <w:t xml:space="preserve">21 y </w:t>
      </w:r>
      <w:r w:rsidR="00F66613">
        <w:rPr>
          <w:rFonts w:ascii="Arial" w:hAnsi="Arial" w:cs="Arial"/>
          <w:lang w:val="es-ES" w:eastAsia="es-ES"/>
        </w:rPr>
        <w:t xml:space="preserve">22 </w:t>
      </w:r>
      <w:r w:rsidRPr="002736AC">
        <w:rPr>
          <w:rFonts w:ascii="Arial" w:hAnsi="Arial" w:cs="Arial"/>
          <w:lang w:val="es-ES" w:eastAsia="es-ES"/>
        </w:rPr>
        <w:t xml:space="preserve">de 2024. Anunciado entre otras fechas el </w:t>
      </w:r>
      <w:r w:rsidR="00F66613">
        <w:rPr>
          <w:rFonts w:ascii="Arial" w:hAnsi="Arial" w:cs="Arial"/>
          <w:lang w:val="es-ES" w:eastAsia="es-ES"/>
        </w:rPr>
        <w:t>2</w:t>
      </w:r>
      <w:r w:rsidR="002157E7">
        <w:rPr>
          <w:rFonts w:ascii="Arial" w:hAnsi="Arial" w:cs="Arial"/>
          <w:lang w:val="es-ES" w:eastAsia="es-ES"/>
        </w:rPr>
        <w:t>0</w:t>
      </w:r>
      <w:r w:rsidRPr="002736AC">
        <w:rPr>
          <w:rFonts w:ascii="Arial" w:hAnsi="Arial" w:cs="Arial"/>
          <w:lang w:val="es-ES" w:eastAsia="es-ES"/>
        </w:rPr>
        <w:t xml:space="preserve"> de </w:t>
      </w:r>
      <w:proofErr w:type="gramStart"/>
      <w:r w:rsidR="00F66613">
        <w:rPr>
          <w:rFonts w:ascii="Arial" w:hAnsi="Arial" w:cs="Arial"/>
          <w:lang w:val="es-ES" w:eastAsia="es-ES"/>
        </w:rPr>
        <w:t>Mayo</w:t>
      </w:r>
      <w:proofErr w:type="gramEnd"/>
      <w:r w:rsidR="00F66613">
        <w:rPr>
          <w:rFonts w:ascii="Arial" w:hAnsi="Arial" w:cs="Arial"/>
          <w:lang w:val="es-ES" w:eastAsia="es-ES"/>
        </w:rPr>
        <w:t xml:space="preserve"> </w:t>
      </w:r>
      <w:r w:rsidRPr="002736AC">
        <w:rPr>
          <w:rFonts w:ascii="Arial" w:hAnsi="Arial" w:cs="Arial"/>
          <w:lang w:val="es-ES" w:eastAsia="es-ES"/>
        </w:rPr>
        <w:t xml:space="preserve">de 2024 según consta en Acta No. </w:t>
      </w:r>
      <w:r w:rsidR="00F66613">
        <w:rPr>
          <w:rFonts w:ascii="Arial" w:hAnsi="Arial" w:cs="Arial"/>
          <w:lang w:val="es-ES" w:eastAsia="es-ES"/>
        </w:rPr>
        <w:t>5</w:t>
      </w:r>
      <w:r w:rsidR="002157E7">
        <w:rPr>
          <w:rFonts w:ascii="Arial" w:hAnsi="Arial" w:cs="Arial"/>
          <w:lang w:val="es-ES" w:eastAsia="es-ES"/>
        </w:rPr>
        <w:t>1</w:t>
      </w:r>
      <w:r w:rsidR="005C018D">
        <w:rPr>
          <w:rFonts w:ascii="Arial" w:hAnsi="Arial" w:cs="Arial"/>
          <w:lang w:val="es-ES" w:eastAsia="es-ES"/>
        </w:rPr>
        <w:t>.</w:t>
      </w:r>
    </w:p>
    <w:p w14:paraId="30AB6C85" w14:textId="37CDDCDB" w:rsidR="009A79A2" w:rsidRDefault="009A79A2" w:rsidP="009A79A2">
      <w:pPr>
        <w:spacing w:after="0" w:line="240" w:lineRule="auto"/>
        <w:jc w:val="center"/>
        <w:rPr>
          <w:rFonts w:ascii="Arial" w:hAnsi="Arial" w:cs="Arial"/>
          <w:b/>
          <w:bCs/>
          <w:sz w:val="20"/>
          <w:szCs w:val="20"/>
        </w:rPr>
      </w:pPr>
    </w:p>
    <w:p w14:paraId="7BD592F1" w14:textId="77777777" w:rsidR="0060023E" w:rsidRDefault="0060023E" w:rsidP="009A79A2">
      <w:pPr>
        <w:spacing w:after="0" w:line="240" w:lineRule="auto"/>
        <w:jc w:val="center"/>
        <w:rPr>
          <w:rFonts w:ascii="Arial" w:hAnsi="Arial" w:cs="Arial"/>
          <w:b/>
          <w:bCs/>
          <w:sz w:val="20"/>
          <w:szCs w:val="20"/>
        </w:rPr>
      </w:pPr>
    </w:p>
    <w:p w14:paraId="6F9E88A3" w14:textId="77777777" w:rsidR="005C018D" w:rsidRDefault="005C018D" w:rsidP="009A79A2">
      <w:pPr>
        <w:spacing w:after="0" w:line="240" w:lineRule="auto"/>
        <w:jc w:val="center"/>
        <w:rPr>
          <w:rFonts w:ascii="Arial" w:hAnsi="Arial" w:cs="Arial"/>
          <w:b/>
          <w:bCs/>
          <w:sz w:val="20"/>
          <w:szCs w:val="20"/>
        </w:rPr>
      </w:pPr>
    </w:p>
    <w:p w14:paraId="4DC8CDE0" w14:textId="22FB912B" w:rsidR="009A79A2" w:rsidRDefault="009A79A2" w:rsidP="009A79A2">
      <w:pPr>
        <w:spacing w:after="0" w:line="240" w:lineRule="auto"/>
        <w:jc w:val="center"/>
        <w:rPr>
          <w:rFonts w:ascii="Arial" w:hAnsi="Arial" w:cs="Arial"/>
          <w:b/>
          <w:bCs/>
          <w:sz w:val="20"/>
          <w:szCs w:val="20"/>
        </w:rPr>
      </w:pPr>
    </w:p>
    <w:p w14:paraId="27FCEB20" w14:textId="77777777" w:rsidR="00C17AF6" w:rsidRDefault="00C17AF6" w:rsidP="009A79A2">
      <w:pPr>
        <w:spacing w:after="0" w:line="240" w:lineRule="auto"/>
        <w:jc w:val="center"/>
        <w:rPr>
          <w:rFonts w:ascii="Arial" w:hAnsi="Arial" w:cs="Arial"/>
          <w:b/>
          <w:bCs/>
          <w:sz w:val="20"/>
          <w:szCs w:val="20"/>
        </w:rPr>
      </w:pPr>
      <w:bookmarkStart w:id="0" w:name="_GoBack"/>
      <w:bookmarkEnd w:id="0"/>
    </w:p>
    <w:p w14:paraId="608C17A5" w14:textId="429B6157" w:rsidR="003B090C" w:rsidRPr="002736AC" w:rsidRDefault="00F66613" w:rsidP="003B090C">
      <w:pPr>
        <w:spacing w:after="0" w:line="240" w:lineRule="auto"/>
        <w:jc w:val="both"/>
        <w:rPr>
          <w:rFonts w:ascii="Arial" w:eastAsia="Times New Roman" w:hAnsi="Arial" w:cs="Arial"/>
          <w:b/>
          <w:lang w:eastAsia="es-CO"/>
        </w:rPr>
      </w:pPr>
      <w:r>
        <w:rPr>
          <w:rFonts w:ascii="Arial" w:eastAsia="Times New Roman" w:hAnsi="Arial" w:cs="Arial"/>
          <w:b/>
          <w:lang w:eastAsia="es-CO"/>
        </w:rPr>
        <w:t>CARLOS ADOLFO ARDILA ESPINOSA</w:t>
      </w:r>
      <w:r w:rsidR="00D70238" w:rsidRPr="002736AC">
        <w:rPr>
          <w:rFonts w:ascii="Arial" w:eastAsia="Times New Roman" w:hAnsi="Arial" w:cs="Arial"/>
          <w:b/>
          <w:lang w:eastAsia="es-CO"/>
        </w:rPr>
        <w:tab/>
      </w:r>
      <w:r>
        <w:rPr>
          <w:rFonts w:ascii="Arial" w:eastAsia="Times New Roman" w:hAnsi="Arial" w:cs="Arial"/>
          <w:b/>
          <w:lang w:eastAsia="es-CO"/>
        </w:rPr>
        <w:t xml:space="preserve">           </w:t>
      </w:r>
      <w:r w:rsidR="0023741A" w:rsidRPr="0023741A">
        <w:rPr>
          <w:rFonts w:ascii="Arial" w:eastAsia="Times New Roman" w:hAnsi="Arial" w:cs="Arial"/>
          <w:b/>
          <w:lang w:eastAsia="es-CO"/>
        </w:rPr>
        <w:t xml:space="preserve">OSCAR RODRIGO CAMPO HURTADO </w:t>
      </w:r>
    </w:p>
    <w:p w14:paraId="62798036" w14:textId="02479A37" w:rsidR="003B090C" w:rsidRPr="0023741A" w:rsidRDefault="003B090C" w:rsidP="00D70238">
      <w:pPr>
        <w:spacing w:after="0" w:line="240" w:lineRule="auto"/>
        <w:jc w:val="both"/>
        <w:rPr>
          <w:rFonts w:ascii="Arial" w:eastAsia="Times New Roman" w:hAnsi="Arial" w:cs="Arial"/>
          <w:lang w:eastAsia="es-CO"/>
        </w:rPr>
      </w:pPr>
      <w:r w:rsidRPr="0023741A">
        <w:rPr>
          <w:rFonts w:ascii="Arial" w:eastAsia="Times New Roman" w:hAnsi="Arial" w:cs="Arial"/>
          <w:lang w:eastAsia="es-CO"/>
        </w:rPr>
        <w:t>Ponente Coordinadora</w:t>
      </w:r>
      <w:r w:rsidRPr="0023741A">
        <w:rPr>
          <w:rFonts w:ascii="Arial" w:eastAsia="Times New Roman" w:hAnsi="Arial" w:cs="Arial"/>
          <w:lang w:eastAsia="es-CO"/>
        </w:rPr>
        <w:tab/>
      </w:r>
      <w:r w:rsidRPr="0023741A">
        <w:rPr>
          <w:rFonts w:ascii="Arial" w:eastAsia="Times New Roman" w:hAnsi="Arial" w:cs="Arial"/>
          <w:lang w:eastAsia="es-CO"/>
        </w:rPr>
        <w:tab/>
      </w:r>
      <w:r w:rsidRPr="0023741A">
        <w:rPr>
          <w:rFonts w:ascii="Arial" w:eastAsia="Times New Roman" w:hAnsi="Arial" w:cs="Arial"/>
          <w:lang w:eastAsia="es-CO"/>
        </w:rPr>
        <w:tab/>
      </w:r>
      <w:r w:rsidR="00AB7970" w:rsidRPr="0023741A">
        <w:rPr>
          <w:rFonts w:ascii="Arial" w:eastAsia="Times New Roman" w:hAnsi="Arial" w:cs="Arial"/>
          <w:lang w:eastAsia="es-CO"/>
        </w:rPr>
        <w:tab/>
      </w:r>
      <w:r w:rsidR="0023741A" w:rsidRPr="0023741A">
        <w:rPr>
          <w:rFonts w:ascii="Arial" w:eastAsia="Times New Roman" w:hAnsi="Arial" w:cs="Arial"/>
          <w:lang w:eastAsia="es-CO"/>
        </w:rPr>
        <w:t>Vicep</w:t>
      </w:r>
      <w:r w:rsidRPr="0023741A">
        <w:rPr>
          <w:rFonts w:ascii="Arial" w:eastAsia="Times New Roman" w:hAnsi="Arial" w:cs="Arial"/>
          <w:lang w:eastAsia="es-CO"/>
        </w:rPr>
        <w:t>residente</w:t>
      </w:r>
    </w:p>
    <w:p w14:paraId="761A5FA0" w14:textId="77777777" w:rsidR="003B090C" w:rsidRDefault="003B090C" w:rsidP="00D70238">
      <w:pPr>
        <w:spacing w:after="0" w:line="240" w:lineRule="auto"/>
        <w:jc w:val="both"/>
        <w:rPr>
          <w:rFonts w:ascii="Arial" w:eastAsia="Times New Roman" w:hAnsi="Arial" w:cs="Arial"/>
          <w:b/>
          <w:lang w:eastAsia="es-CO"/>
        </w:rPr>
      </w:pPr>
    </w:p>
    <w:p w14:paraId="1B22305D" w14:textId="77777777" w:rsidR="0060023E" w:rsidRPr="002736AC" w:rsidRDefault="0060023E" w:rsidP="00D70238">
      <w:pPr>
        <w:spacing w:after="0" w:line="240" w:lineRule="auto"/>
        <w:jc w:val="both"/>
        <w:rPr>
          <w:rFonts w:ascii="Arial" w:eastAsia="Times New Roman" w:hAnsi="Arial" w:cs="Arial"/>
          <w:b/>
          <w:lang w:eastAsia="es-CO"/>
        </w:rPr>
      </w:pPr>
    </w:p>
    <w:p w14:paraId="20C44595" w14:textId="7B1417EA" w:rsidR="003B090C" w:rsidRDefault="003B090C" w:rsidP="00D70238">
      <w:pPr>
        <w:spacing w:after="0" w:line="240" w:lineRule="auto"/>
        <w:jc w:val="both"/>
        <w:rPr>
          <w:rFonts w:ascii="Arial" w:eastAsia="Times New Roman" w:hAnsi="Arial" w:cs="Arial"/>
          <w:b/>
          <w:lang w:eastAsia="es-CO"/>
        </w:rPr>
      </w:pPr>
    </w:p>
    <w:p w14:paraId="4CE65A87" w14:textId="77777777" w:rsidR="00C17AF6" w:rsidRPr="002736AC" w:rsidRDefault="00C17AF6" w:rsidP="00D70238">
      <w:pPr>
        <w:spacing w:after="0" w:line="240" w:lineRule="auto"/>
        <w:jc w:val="both"/>
        <w:rPr>
          <w:rFonts w:ascii="Arial" w:eastAsia="Times New Roman" w:hAnsi="Arial" w:cs="Arial"/>
          <w:b/>
          <w:lang w:eastAsia="es-CO"/>
        </w:rPr>
      </w:pPr>
    </w:p>
    <w:p w14:paraId="03F3DB9C" w14:textId="30DBCD13" w:rsidR="003B090C" w:rsidRPr="002736AC" w:rsidRDefault="003B090C" w:rsidP="00D70238">
      <w:pPr>
        <w:spacing w:after="0" w:line="240" w:lineRule="auto"/>
        <w:jc w:val="both"/>
        <w:rPr>
          <w:rFonts w:ascii="Arial" w:eastAsia="Times New Roman" w:hAnsi="Arial" w:cs="Arial"/>
          <w:b/>
          <w:lang w:eastAsia="es-CO"/>
        </w:rPr>
      </w:pPr>
    </w:p>
    <w:p w14:paraId="7B570E71" w14:textId="77777777" w:rsidR="003B090C" w:rsidRPr="002736AC" w:rsidRDefault="003B090C" w:rsidP="00D70238">
      <w:pPr>
        <w:spacing w:after="0" w:line="240" w:lineRule="auto"/>
        <w:jc w:val="both"/>
        <w:rPr>
          <w:rFonts w:ascii="Arial" w:eastAsia="Times New Roman" w:hAnsi="Arial" w:cs="Arial"/>
          <w:b/>
          <w:lang w:eastAsia="es-CO"/>
        </w:rPr>
      </w:pPr>
    </w:p>
    <w:p w14:paraId="09D5981A" w14:textId="753F08EC" w:rsidR="00D70238" w:rsidRPr="002736AC" w:rsidRDefault="00D70238" w:rsidP="0023741A">
      <w:pPr>
        <w:spacing w:after="0" w:line="240" w:lineRule="auto"/>
        <w:jc w:val="center"/>
        <w:rPr>
          <w:rFonts w:ascii="Arial" w:eastAsia="Times New Roman" w:hAnsi="Arial" w:cs="Arial"/>
          <w:b/>
          <w:lang w:eastAsia="es-CO"/>
        </w:rPr>
      </w:pPr>
      <w:r w:rsidRPr="002736AC">
        <w:rPr>
          <w:rFonts w:ascii="Arial" w:eastAsia="Times New Roman" w:hAnsi="Arial" w:cs="Arial"/>
          <w:b/>
          <w:lang w:eastAsia="es-CO"/>
        </w:rPr>
        <w:t>AMPARO Y</w:t>
      </w:r>
      <w:r w:rsidR="0023741A">
        <w:rPr>
          <w:rFonts w:ascii="Arial" w:eastAsia="Times New Roman" w:hAnsi="Arial" w:cs="Arial"/>
          <w:b/>
          <w:lang w:eastAsia="es-CO"/>
        </w:rPr>
        <w:t>ANETH</w:t>
      </w:r>
      <w:r w:rsidRPr="002736AC">
        <w:rPr>
          <w:rFonts w:ascii="Arial" w:eastAsia="Times New Roman" w:hAnsi="Arial" w:cs="Arial"/>
          <w:b/>
          <w:lang w:eastAsia="es-CO"/>
        </w:rPr>
        <w:t xml:space="preserve"> CALDERON PERDOMO</w:t>
      </w:r>
    </w:p>
    <w:p w14:paraId="5BD887A4" w14:textId="39D0501B" w:rsidR="00DF170E" w:rsidRPr="002736AC" w:rsidRDefault="00D70238" w:rsidP="0023741A">
      <w:pPr>
        <w:spacing w:after="0" w:line="240" w:lineRule="auto"/>
        <w:jc w:val="center"/>
        <w:rPr>
          <w:rFonts w:ascii="Arial" w:eastAsia="Times New Roman" w:hAnsi="Arial" w:cs="Arial"/>
          <w:b/>
          <w:lang w:eastAsia="es-CO"/>
        </w:rPr>
      </w:pPr>
      <w:r w:rsidRPr="002736AC">
        <w:rPr>
          <w:rFonts w:ascii="Arial" w:eastAsia="Times New Roman" w:hAnsi="Arial" w:cs="Arial"/>
          <w:lang w:eastAsia="es-CO"/>
        </w:rPr>
        <w:t>Secretaria</w:t>
      </w:r>
    </w:p>
    <w:sectPr w:rsidR="00DF170E" w:rsidRPr="002736AC" w:rsidSect="00184C5F">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98A3F" w14:textId="77777777" w:rsidR="00EA2148" w:rsidRDefault="00EA2148" w:rsidP="00F464B3">
      <w:pPr>
        <w:spacing w:after="0" w:line="240" w:lineRule="auto"/>
      </w:pPr>
      <w:r>
        <w:separator/>
      </w:r>
    </w:p>
  </w:endnote>
  <w:endnote w:type="continuationSeparator" w:id="0">
    <w:p w14:paraId="258F910D" w14:textId="77777777" w:rsidR="00EA2148" w:rsidRDefault="00EA2148"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6DD477F3" w:rsidR="00BB3C7B" w:rsidRDefault="00BB3C7B">
        <w:pPr>
          <w:pStyle w:val="Piedepgina"/>
          <w:jc w:val="right"/>
        </w:pPr>
        <w:r>
          <w:fldChar w:fldCharType="begin"/>
        </w:r>
        <w:r>
          <w:instrText>PAGE   \* MERGEFORMAT</w:instrText>
        </w:r>
        <w:r>
          <w:fldChar w:fldCharType="separate"/>
        </w:r>
        <w:r w:rsidR="00C17AF6" w:rsidRPr="00C17AF6">
          <w:rPr>
            <w:noProof/>
            <w:lang w:val="es-ES"/>
          </w:rPr>
          <w:t>4</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7CE35" w14:textId="77777777" w:rsidR="00EA2148" w:rsidRDefault="00EA2148" w:rsidP="00F464B3">
      <w:pPr>
        <w:spacing w:after="0" w:line="240" w:lineRule="auto"/>
      </w:pPr>
      <w:r>
        <w:separator/>
      </w:r>
    </w:p>
  </w:footnote>
  <w:footnote w:type="continuationSeparator" w:id="0">
    <w:p w14:paraId="0BD2732E" w14:textId="77777777" w:rsidR="00EA2148" w:rsidRDefault="00EA2148"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A426ED0"/>
    <w:multiLevelType w:val="multilevel"/>
    <w:tmpl w:val="D5DAA3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1C30575"/>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3"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3"/>
  </w:num>
  <w:num w:numId="2">
    <w:abstractNumId w:val="30"/>
  </w:num>
  <w:num w:numId="3">
    <w:abstractNumId w:val="32"/>
  </w:num>
  <w:num w:numId="4">
    <w:abstractNumId w:val="21"/>
  </w:num>
  <w:num w:numId="5">
    <w:abstractNumId w:val="27"/>
  </w:num>
  <w:num w:numId="6">
    <w:abstractNumId w:val="36"/>
  </w:num>
  <w:num w:numId="7">
    <w:abstractNumId w:val="48"/>
  </w:num>
  <w:num w:numId="8">
    <w:abstractNumId w:val="5"/>
  </w:num>
  <w:num w:numId="9">
    <w:abstractNumId w:val="7"/>
  </w:num>
  <w:num w:numId="10">
    <w:abstractNumId w:val="34"/>
  </w:num>
  <w:num w:numId="11">
    <w:abstractNumId w:val="38"/>
  </w:num>
  <w:num w:numId="12">
    <w:abstractNumId w:val="40"/>
  </w:num>
  <w:num w:numId="13">
    <w:abstractNumId w:val="37"/>
  </w:num>
  <w:num w:numId="14">
    <w:abstractNumId w:val="45"/>
  </w:num>
  <w:num w:numId="15">
    <w:abstractNumId w:val="35"/>
  </w:num>
  <w:num w:numId="16">
    <w:abstractNumId w:val="10"/>
  </w:num>
  <w:num w:numId="17">
    <w:abstractNumId w:val="6"/>
  </w:num>
  <w:num w:numId="18">
    <w:abstractNumId w:val="14"/>
  </w:num>
  <w:num w:numId="19">
    <w:abstractNumId w:val="15"/>
  </w:num>
  <w:num w:numId="20">
    <w:abstractNumId w:val="46"/>
  </w:num>
  <w:num w:numId="21">
    <w:abstractNumId w:val="25"/>
  </w:num>
  <w:num w:numId="22">
    <w:abstractNumId w:val="49"/>
  </w:num>
  <w:num w:numId="23">
    <w:abstractNumId w:val="20"/>
  </w:num>
  <w:num w:numId="24">
    <w:abstractNumId w:val="4"/>
  </w:num>
  <w:num w:numId="25">
    <w:abstractNumId w:val="2"/>
  </w:num>
  <w:num w:numId="26">
    <w:abstractNumId w:val="19"/>
  </w:num>
  <w:num w:numId="27">
    <w:abstractNumId w:val="42"/>
  </w:num>
  <w:num w:numId="28">
    <w:abstractNumId w:val="16"/>
  </w:num>
  <w:num w:numId="29">
    <w:abstractNumId w:val="51"/>
  </w:num>
  <w:num w:numId="30">
    <w:abstractNumId w:val="50"/>
  </w:num>
  <w:num w:numId="31">
    <w:abstractNumId w:val="26"/>
  </w:num>
  <w:num w:numId="32">
    <w:abstractNumId w:val="41"/>
  </w:num>
  <w:num w:numId="33">
    <w:abstractNumId w:val="11"/>
  </w:num>
  <w:num w:numId="34">
    <w:abstractNumId w:val="12"/>
  </w:num>
  <w:num w:numId="35">
    <w:abstractNumId w:val="43"/>
  </w:num>
  <w:num w:numId="36">
    <w:abstractNumId w:val="44"/>
  </w:num>
  <w:num w:numId="37">
    <w:abstractNumId w:val="52"/>
  </w:num>
  <w:num w:numId="38">
    <w:abstractNumId w:val="13"/>
  </w:num>
  <w:num w:numId="39">
    <w:abstractNumId w:val="22"/>
  </w:num>
  <w:num w:numId="40">
    <w:abstractNumId w:val="24"/>
  </w:num>
  <w:num w:numId="41">
    <w:abstractNumId w:val="29"/>
  </w:num>
  <w:num w:numId="42">
    <w:abstractNumId w:val="39"/>
  </w:num>
  <w:num w:numId="43">
    <w:abstractNumId w:val="31"/>
  </w:num>
  <w:num w:numId="44">
    <w:abstractNumId w:val="18"/>
  </w:num>
  <w:num w:numId="45">
    <w:abstractNumId w:val="23"/>
  </w:num>
  <w:num w:numId="46">
    <w:abstractNumId w:val="47"/>
  </w:num>
  <w:num w:numId="47">
    <w:abstractNumId w:val="9"/>
  </w:num>
  <w:num w:numId="48">
    <w:abstractNumId w:val="0"/>
  </w:num>
  <w:num w:numId="49">
    <w:abstractNumId w:val="3"/>
  </w:num>
  <w:num w:numId="50">
    <w:abstractNumId w:val="1"/>
  </w:num>
  <w:num w:numId="51">
    <w:abstractNumId w:val="8"/>
  </w:num>
  <w:num w:numId="52">
    <w:abstractNumId w:val="17"/>
  </w:num>
  <w:num w:numId="53">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0722"/>
    <w:rsid w:val="000B3E82"/>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2753F"/>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4C5F"/>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57E7"/>
    <w:rsid w:val="002161A0"/>
    <w:rsid w:val="00216A70"/>
    <w:rsid w:val="00217602"/>
    <w:rsid w:val="002239AB"/>
    <w:rsid w:val="00232830"/>
    <w:rsid w:val="00232EEB"/>
    <w:rsid w:val="00234EB6"/>
    <w:rsid w:val="0023741A"/>
    <w:rsid w:val="00237BCB"/>
    <w:rsid w:val="00240AE1"/>
    <w:rsid w:val="002419BE"/>
    <w:rsid w:val="002446B7"/>
    <w:rsid w:val="002537D9"/>
    <w:rsid w:val="00253997"/>
    <w:rsid w:val="0025642A"/>
    <w:rsid w:val="0025745F"/>
    <w:rsid w:val="002600E0"/>
    <w:rsid w:val="00265C75"/>
    <w:rsid w:val="00266F05"/>
    <w:rsid w:val="00271232"/>
    <w:rsid w:val="002736AC"/>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673C"/>
    <w:rsid w:val="003572F2"/>
    <w:rsid w:val="00360AD3"/>
    <w:rsid w:val="003652A3"/>
    <w:rsid w:val="00370333"/>
    <w:rsid w:val="00371367"/>
    <w:rsid w:val="00371F20"/>
    <w:rsid w:val="003729B1"/>
    <w:rsid w:val="00374B50"/>
    <w:rsid w:val="003756F8"/>
    <w:rsid w:val="00376461"/>
    <w:rsid w:val="003775E6"/>
    <w:rsid w:val="003831CF"/>
    <w:rsid w:val="00383741"/>
    <w:rsid w:val="003877D7"/>
    <w:rsid w:val="00394054"/>
    <w:rsid w:val="00397DD8"/>
    <w:rsid w:val="003B090C"/>
    <w:rsid w:val="003B2CD7"/>
    <w:rsid w:val="003B470F"/>
    <w:rsid w:val="003B5426"/>
    <w:rsid w:val="003B79F3"/>
    <w:rsid w:val="003B7C49"/>
    <w:rsid w:val="003C4873"/>
    <w:rsid w:val="003C550A"/>
    <w:rsid w:val="003C554A"/>
    <w:rsid w:val="003C6C4F"/>
    <w:rsid w:val="003D1D67"/>
    <w:rsid w:val="003D3429"/>
    <w:rsid w:val="003D37C7"/>
    <w:rsid w:val="003E41BB"/>
    <w:rsid w:val="003F22E4"/>
    <w:rsid w:val="003F7482"/>
    <w:rsid w:val="004029C1"/>
    <w:rsid w:val="00403989"/>
    <w:rsid w:val="004201D0"/>
    <w:rsid w:val="00423C49"/>
    <w:rsid w:val="004250DB"/>
    <w:rsid w:val="004325B6"/>
    <w:rsid w:val="00435772"/>
    <w:rsid w:val="00437BC2"/>
    <w:rsid w:val="00441F17"/>
    <w:rsid w:val="004502E0"/>
    <w:rsid w:val="004520A7"/>
    <w:rsid w:val="00453F58"/>
    <w:rsid w:val="0045788D"/>
    <w:rsid w:val="00460BB0"/>
    <w:rsid w:val="0046125C"/>
    <w:rsid w:val="004621DF"/>
    <w:rsid w:val="004721F2"/>
    <w:rsid w:val="00472F92"/>
    <w:rsid w:val="004747EE"/>
    <w:rsid w:val="004750CB"/>
    <w:rsid w:val="00476665"/>
    <w:rsid w:val="00480B0E"/>
    <w:rsid w:val="0048299A"/>
    <w:rsid w:val="00484D12"/>
    <w:rsid w:val="0049319D"/>
    <w:rsid w:val="0049348D"/>
    <w:rsid w:val="004937A0"/>
    <w:rsid w:val="00494AAD"/>
    <w:rsid w:val="004961B6"/>
    <w:rsid w:val="004A1689"/>
    <w:rsid w:val="004A329B"/>
    <w:rsid w:val="004A6139"/>
    <w:rsid w:val="004A7C95"/>
    <w:rsid w:val="004B2496"/>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4F7E5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C018D"/>
    <w:rsid w:val="005C0843"/>
    <w:rsid w:val="005C0A22"/>
    <w:rsid w:val="005C1623"/>
    <w:rsid w:val="005C271B"/>
    <w:rsid w:val="005C5BAD"/>
    <w:rsid w:val="005C685F"/>
    <w:rsid w:val="005C6C19"/>
    <w:rsid w:val="005C7D3E"/>
    <w:rsid w:val="005D2F81"/>
    <w:rsid w:val="005D314D"/>
    <w:rsid w:val="005D3C35"/>
    <w:rsid w:val="005E4441"/>
    <w:rsid w:val="005E4DAD"/>
    <w:rsid w:val="005F3B9E"/>
    <w:rsid w:val="005F5FEC"/>
    <w:rsid w:val="0060023E"/>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1B4B"/>
    <w:rsid w:val="00682C1C"/>
    <w:rsid w:val="0068320C"/>
    <w:rsid w:val="0068369B"/>
    <w:rsid w:val="00685C86"/>
    <w:rsid w:val="00690A5E"/>
    <w:rsid w:val="006915E1"/>
    <w:rsid w:val="0069258E"/>
    <w:rsid w:val="0069360F"/>
    <w:rsid w:val="0069372B"/>
    <w:rsid w:val="00696073"/>
    <w:rsid w:val="006A64B2"/>
    <w:rsid w:val="006B466C"/>
    <w:rsid w:val="006B58CF"/>
    <w:rsid w:val="006C244C"/>
    <w:rsid w:val="006C3E27"/>
    <w:rsid w:val="006C51BD"/>
    <w:rsid w:val="006D07D4"/>
    <w:rsid w:val="006D23D9"/>
    <w:rsid w:val="006D7439"/>
    <w:rsid w:val="006E0408"/>
    <w:rsid w:val="006E2594"/>
    <w:rsid w:val="006E2BB9"/>
    <w:rsid w:val="006F1E48"/>
    <w:rsid w:val="006F287E"/>
    <w:rsid w:val="006F2E70"/>
    <w:rsid w:val="006F2F0E"/>
    <w:rsid w:val="006F309E"/>
    <w:rsid w:val="006F31F7"/>
    <w:rsid w:val="006F6235"/>
    <w:rsid w:val="00701FEC"/>
    <w:rsid w:val="00704C38"/>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2F2"/>
    <w:rsid w:val="00823EC1"/>
    <w:rsid w:val="00830248"/>
    <w:rsid w:val="00830D20"/>
    <w:rsid w:val="00831772"/>
    <w:rsid w:val="00834B6E"/>
    <w:rsid w:val="008356B7"/>
    <w:rsid w:val="0084184A"/>
    <w:rsid w:val="008445C9"/>
    <w:rsid w:val="008468BF"/>
    <w:rsid w:val="00851377"/>
    <w:rsid w:val="00852190"/>
    <w:rsid w:val="0085285E"/>
    <w:rsid w:val="00853822"/>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44774"/>
    <w:rsid w:val="009501D7"/>
    <w:rsid w:val="00953359"/>
    <w:rsid w:val="00953A9A"/>
    <w:rsid w:val="009544D9"/>
    <w:rsid w:val="0095551B"/>
    <w:rsid w:val="009637DF"/>
    <w:rsid w:val="00963E30"/>
    <w:rsid w:val="009644EC"/>
    <w:rsid w:val="00965B5A"/>
    <w:rsid w:val="00971BA8"/>
    <w:rsid w:val="00971E04"/>
    <w:rsid w:val="00973EBB"/>
    <w:rsid w:val="00974898"/>
    <w:rsid w:val="00975A60"/>
    <w:rsid w:val="009824EF"/>
    <w:rsid w:val="00984F42"/>
    <w:rsid w:val="00985D84"/>
    <w:rsid w:val="00986738"/>
    <w:rsid w:val="00986E8B"/>
    <w:rsid w:val="00992371"/>
    <w:rsid w:val="00993246"/>
    <w:rsid w:val="009932F1"/>
    <w:rsid w:val="00993BB4"/>
    <w:rsid w:val="009959F1"/>
    <w:rsid w:val="0099760B"/>
    <w:rsid w:val="009A07C8"/>
    <w:rsid w:val="009A5162"/>
    <w:rsid w:val="009A79A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0587"/>
    <w:rsid w:val="00A833DC"/>
    <w:rsid w:val="00A83DAE"/>
    <w:rsid w:val="00A858EE"/>
    <w:rsid w:val="00A92EFE"/>
    <w:rsid w:val="00AA107A"/>
    <w:rsid w:val="00AA3DC5"/>
    <w:rsid w:val="00AB0713"/>
    <w:rsid w:val="00AB2053"/>
    <w:rsid w:val="00AB5D2C"/>
    <w:rsid w:val="00AB7132"/>
    <w:rsid w:val="00AB7970"/>
    <w:rsid w:val="00AB7E74"/>
    <w:rsid w:val="00AC26BB"/>
    <w:rsid w:val="00AC2BEA"/>
    <w:rsid w:val="00AC2CFC"/>
    <w:rsid w:val="00AC4826"/>
    <w:rsid w:val="00AC585F"/>
    <w:rsid w:val="00AC6549"/>
    <w:rsid w:val="00AD02C7"/>
    <w:rsid w:val="00AD50ED"/>
    <w:rsid w:val="00AD6144"/>
    <w:rsid w:val="00AD662E"/>
    <w:rsid w:val="00AE03DB"/>
    <w:rsid w:val="00AE120F"/>
    <w:rsid w:val="00AE1255"/>
    <w:rsid w:val="00AE1660"/>
    <w:rsid w:val="00AE26AF"/>
    <w:rsid w:val="00AE3BCF"/>
    <w:rsid w:val="00AF05ED"/>
    <w:rsid w:val="00AF1C4C"/>
    <w:rsid w:val="00AF1E3A"/>
    <w:rsid w:val="00AF5978"/>
    <w:rsid w:val="00AF61D6"/>
    <w:rsid w:val="00B03CC7"/>
    <w:rsid w:val="00B053B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17AF6"/>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1FC6"/>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3FA8"/>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4F91"/>
    <w:rsid w:val="00D556DE"/>
    <w:rsid w:val="00D56956"/>
    <w:rsid w:val="00D612E9"/>
    <w:rsid w:val="00D63FF4"/>
    <w:rsid w:val="00D70238"/>
    <w:rsid w:val="00D71F77"/>
    <w:rsid w:val="00D74174"/>
    <w:rsid w:val="00D756CE"/>
    <w:rsid w:val="00D77629"/>
    <w:rsid w:val="00D80A76"/>
    <w:rsid w:val="00D810CB"/>
    <w:rsid w:val="00D81BB3"/>
    <w:rsid w:val="00D823E0"/>
    <w:rsid w:val="00D8350D"/>
    <w:rsid w:val="00D85EB3"/>
    <w:rsid w:val="00D93774"/>
    <w:rsid w:val="00DA2698"/>
    <w:rsid w:val="00DA3876"/>
    <w:rsid w:val="00DA4785"/>
    <w:rsid w:val="00DA4E14"/>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1683"/>
    <w:rsid w:val="00E11FDF"/>
    <w:rsid w:val="00E12387"/>
    <w:rsid w:val="00E15245"/>
    <w:rsid w:val="00E174E0"/>
    <w:rsid w:val="00E17FF4"/>
    <w:rsid w:val="00E24FFD"/>
    <w:rsid w:val="00E26426"/>
    <w:rsid w:val="00E325C3"/>
    <w:rsid w:val="00E34C58"/>
    <w:rsid w:val="00E359F6"/>
    <w:rsid w:val="00E4558F"/>
    <w:rsid w:val="00E470B0"/>
    <w:rsid w:val="00E529CC"/>
    <w:rsid w:val="00E53447"/>
    <w:rsid w:val="00E5347F"/>
    <w:rsid w:val="00E62442"/>
    <w:rsid w:val="00E66F62"/>
    <w:rsid w:val="00E85BF5"/>
    <w:rsid w:val="00E90030"/>
    <w:rsid w:val="00EA07E6"/>
    <w:rsid w:val="00EA2148"/>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4E71"/>
    <w:rsid w:val="00F45AD6"/>
    <w:rsid w:val="00F464B3"/>
    <w:rsid w:val="00F52F14"/>
    <w:rsid w:val="00F60F02"/>
    <w:rsid w:val="00F6249F"/>
    <w:rsid w:val="00F641B8"/>
    <w:rsid w:val="00F650A3"/>
    <w:rsid w:val="00F66613"/>
    <w:rsid w:val="00F73C04"/>
    <w:rsid w:val="00F74A1B"/>
    <w:rsid w:val="00F74F1E"/>
    <w:rsid w:val="00F762D8"/>
    <w:rsid w:val="00F77611"/>
    <w:rsid w:val="00F90EA1"/>
    <w:rsid w:val="00F93CD2"/>
    <w:rsid w:val="00F93E28"/>
    <w:rsid w:val="00FA64B3"/>
    <w:rsid w:val="00FB0B6B"/>
    <w:rsid w:val="00FB65AE"/>
    <w:rsid w:val="00FB74BA"/>
    <w:rsid w:val="00FC0916"/>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10B5-F371-4EBC-840E-7438ECE8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2413</Words>
  <Characters>13277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15</cp:revision>
  <cp:lastPrinted>2024-05-23T20:16:00Z</cp:lastPrinted>
  <dcterms:created xsi:type="dcterms:W3CDTF">2024-05-22T18:59:00Z</dcterms:created>
  <dcterms:modified xsi:type="dcterms:W3CDTF">2024-05-27T19:16:00Z</dcterms:modified>
</cp:coreProperties>
</file>